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D5" w:rsidRPr="007B734B" w:rsidRDefault="00A44AD5" w:rsidP="00A44AD5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 w:rsidRPr="007B734B">
        <w:rPr>
          <w:b/>
          <w:caps/>
          <w:szCs w:val="24"/>
        </w:rPr>
        <w:t>Denní a pobytové sociální služby, příspěvková organizace,</w:t>
      </w:r>
    </w:p>
    <w:p w:rsidR="00A44AD5" w:rsidRPr="007B734B" w:rsidRDefault="00A44AD5" w:rsidP="00A44AD5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 w:rsidRPr="007B734B">
        <w:rPr>
          <w:b/>
          <w:caps/>
          <w:szCs w:val="24"/>
        </w:rPr>
        <w:t>Hradecká 2905</w:t>
      </w:r>
    </w:p>
    <w:p w:rsidR="00A44AD5" w:rsidRPr="007B734B" w:rsidRDefault="00A44AD5" w:rsidP="00A44AD5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 w:rsidRPr="007B734B">
        <w:rPr>
          <w:b/>
          <w:caps/>
          <w:szCs w:val="24"/>
        </w:rPr>
        <w:t>Česká Lípa 470 06</w:t>
      </w:r>
    </w:p>
    <w:p w:rsidR="00A44AD5" w:rsidRPr="007B734B" w:rsidRDefault="00A44AD5" w:rsidP="00A44AD5">
      <w:pPr>
        <w:pBdr>
          <w:bottom w:val="single" w:sz="12" w:space="1" w:color="auto"/>
        </w:pBdr>
        <w:jc w:val="center"/>
        <w:rPr>
          <w:b/>
          <w:caps/>
          <w:szCs w:val="24"/>
        </w:rPr>
      </w:pPr>
    </w:p>
    <w:p w:rsidR="00A44AD5" w:rsidRPr="007B734B" w:rsidRDefault="00A44AD5" w:rsidP="00A44AD5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 w:rsidRPr="007B734B">
        <w:rPr>
          <w:b/>
          <w:caps/>
          <w:szCs w:val="24"/>
        </w:rPr>
        <w:t>IČ 482 82 961</w:t>
      </w:r>
    </w:p>
    <w:p w:rsidR="00A44AD5" w:rsidRPr="007B734B" w:rsidRDefault="00A44AD5" w:rsidP="00A44AD5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 w:rsidRPr="007B734B">
        <w:rPr>
          <w:b/>
          <w:caps/>
          <w:szCs w:val="24"/>
        </w:rPr>
        <w:t>STATUTÁRNÍ ZÁSTUPCE: Mgr. Ilona Hummelová</w:t>
      </w:r>
    </w:p>
    <w:p w:rsidR="00A44AD5" w:rsidRPr="007B734B" w:rsidRDefault="00A44AD5" w:rsidP="00A44AD5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A44AD5" w:rsidRPr="007B734B" w:rsidRDefault="00A44AD5" w:rsidP="00A44AD5">
      <w:pPr>
        <w:jc w:val="center"/>
        <w:rPr>
          <w:szCs w:val="24"/>
        </w:rPr>
      </w:pPr>
    </w:p>
    <w:p w:rsidR="002C410D" w:rsidRPr="00A44AD5" w:rsidRDefault="00A44AD5" w:rsidP="00A44AD5">
      <w:pPr>
        <w:autoSpaceDE w:val="0"/>
        <w:jc w:val="center"/>
        <w:rPr>
          <w:rFonts w:ascii="Roboto-Medium" w:hAnsi="Roboto-Medium" w:cs="Roboto-Medium"/>
          <w:b/>
          <w:sz w:val="32"/>
          <w:szCs w:val="32"/>
          <w:u w:val="single"/>
        </w:rPr>
      </w:pPr>
      <w:proofErr w:type="gramStart"/>
      <w:r w:rsidRPr="00A44AD5">
        <w:rPr>
          <w:rFonts w:ascii="Roboto-Medium" w:hAnsi="Roboto-Medium" w:cs="Roboto-Medium"/>
          <w:b/>
          <w:sz w:val="32"/>
          <w:szCs w:val="32"/>
          <w:u w:val="single"/>
        </w:rPr>
        <w:t>ZPRÁVA   O   ČINNOSTI</w:t>
      </w:r>
      <w:proofErr w:type="gramEnd"/>
      <w:r w:rsidRPr="00A44AD5">
        <w:rPr>
          <w:rFonts w:ascii="Roboto-Medium" w:hAnsi="Roboto-Medium" w:cs="Roboto-Medium"/>
          <w:b/>
          <w:sz w:val="32"/>
          <w:szCs w:val="32"/>
          <w:u w:val="single"/>
        </w:rPr>
        <w:t xml:space="preserve">   ORGANIZACE  ZA  ROK  2018</w:t>
      </w:r>
    </w:p>
    <w:p w:rsidR="00A44AD5" w:rsidRPr="00A44AD5" w:rsidRDefault="00A44AD5" w:rsidP="003341EA">
      <w:pPr>
        <w:autoSpaceDE w:val="0"/>
        <w:jc w:val="both"/>
        <w:rPr>
          <w:rFonts w:ascii="Roboto-Medium" w:hAnsi="Roboto-Medium" w:cs="Roboto-Medium"/>
          <w:b/>
          <w:sz w:val="32"/>
          <w:szCs w:val="32"/>
          <w:u w:val="single"/>
        </w:rPr>
      </w:pPr>
    </w:p>
    <w:p w:rsidR="00411686" w:rsidRDefault="00411686" w:rsidP="002C410D">
      <w:pPr>
        <w:autoSpaceDE w:val="0"/>
        <w:autoSpaceDN w:val="0"/>
        <w:adjustRightInd w:val="0"/>
        <w:rPr>
          <w:b/>
          <w:color w:val="0070C0"/>
          <w:sz w:val="28"/>
          <w:szCs w:val="28"/>
        </w:rPr>
      </w:pPr>
    </w:p>
    <w:p w:rsidR="00A44AD5" w:rsidRPr="00411686" w:rsidRDefault="002C410D" w:rsidP="002C410D">
      <w:pPr>
        <w:autoSpaceDE w:val="0"/>
        <w:autoSpaceDN w:val="0"/>
        <w:adjustRightInd w:val="0"/>
        <w:rPr>
          <w:b/>
          <w:sz w:val="28"/>
          <w:szCs w:val="28"/>
        </w:rPr>
      </w:pPr>
      <w:r w:rsidRPr="00411686">
        <w:rPr>
          <w:b/>
          <w:sz w:val="28"/>
          <w:szCs w:val="28"/>
        </w:rPr>
        <w:t>část A)</w:t>
      </w:r>
    </w:p>
    <w:p w:rsidR="00411686" w:rsidRPr="00411686" w:rsidRDefault="00411686" w:rsidP="002C410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C410D" w:rsidRPr="00411686" w:rsidRDefault="002C410D" w:rsidP="002C410D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proofErr w:type="gramStart"/>
      <w:r w:rsidRPr="00411686">
        <w:rPr>
          <w:b/>
          <w:sz w:val="28"/>
          <w:szCs w:val="28"/>
          <w:u w:val="single"/>
        </w:rPr>
        <w:t>Z</w:t>
      </w:r>
      <w:r w:rsidR="00A44AD5" w:rsidRPr="00411686">
        <w:rPr>
          <w:b/>
          <w:sz w:val="28"/>
          <w:szCs w:val="28"/>
          <w:u w:val="single"/>
        </w:rPr>
        <w:t>HODNOCENÍ  ČINNOSTI</w:t>
      </w:r>
      <w:proofErr w:type="gramEnd"/>
      <w:r w:rsidR="00A44AD5" w:rsidRPr="00411686">
        <w:rPr>
          <w:b/>
          <w:sz w:val="28"/>
          <w:szCs w:val="28"/>
          <w:u w:val="single"/>
        </w:rPr>
        <w:t xml:space="preserve">  ORGANIZACE</w:t>
      </w:r>
    </w:p>
    <w:p w:rsidR="002C410D" w:rsidRPr="00411686" w:rsidRDefault="002C410D" w:rsidP="002C410D">
      <w:pPr>
        <w:autoSpaceDE w:val="0"/>
        <w:autoSpaceDN w:val="0"/>
        <w:adjustRightInd w:val="0"/>
        <w:rPr>
          <w:rFonts w:ascii="Roboto-Medium" w:hAnsi="Roboto-Medium" w:cs="Roboto-Medium"/>
          <w:u w:val="single"/>
        </w:rPr>
      </w:pPr>
    </w:p>
    <w:p w:rsidR="002C410D" w:rsidRPr="00411686" w:rsidRDefault="002C410D" w:rsidP="002C410D">
      <w:pPr>
        <w:autoSpaceDE w:val="0"/>
        <w:autoSpaceDN w:val="0"/>
        <w:adjustRightInd w:val="0"/>
        <w:rPr>
          <w:rFonts w:ascii="Roboto-Medium" w:hAnsi="Roboto-Medium" w:cs="Roboto-Medium"/>
          <w:u w:val="single"/>
        </w:rPr>
      </w:pPr>
    </w:p>
    <w:p w:rsidR="002C410D" w:rsidRPr="00C1207D" w:rsidRDefault="002C410D" w:rsidP="00863741">
      <w:pPr>
        <w:autoSpaceDE w:val="0"/>
        <w:autoSpaceDN w:val="0"/>
        <w:adjustRightInd w:val="0"/>
        <w:jc w:val="center"/>
        <w:rPr>
          <w:b/>
          <w:u w:val="single"/>
        </w:rPr>
      </w:pPr>
      <w:r w:rsidRPr="00C1207D">
        <w:rPr>
          <w:b/>
          <w:u w:val="single"/>
        </w:rPr>
        <w:t>Denní stacionář</w:t>
      </w:r>
    </w:p>
    <w:p w:rsidR="002C410D" w:rsidRPr="00411686" w:rsidRDefault="002C410D" w:rsidP="002C410D">
      <w:pPr>
        <w:autoSpaceDE w:val="0"/>
        <w:autoSpaceDN w:val="0"/>
        <w:adjustRightInd w:val="0"/>
        <w:rPr>
          <w:rFonts w:ascii="Roboto-Medium" w:hAnsi="Roboto-Medium" w:cs="Roboto-Medium"/>
        </w:rPr>
      </w:pPr>
    </w:p>
    <w:p w:rsidR="002C410D" w:rsidRPr="00411686" w:rsidRDefault="002C410D" w:rsidP="003E686F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411686">
        <w:rPr>
          <w:szCs w:val="24"/>
        </w:rPr>
        <w:t>Naše zařízení poskytuje sociální služby uživatelům s mentálním postižením. Vzhledem k aktuální problematice v oblasti osob s mentálním postižením zaznamenáváme nárůst specifických potřeb klientů v kategorii kombinovaných postižení, např. se smyslovým, tělesným, ale i psychiatrickým postižením. Občané s mentálním postižením v kombinaci s psychiatrickou zátěží (bez agresivních projevů) mohou využít služeb denního stacionáře v plném rozsahu.</w:t>
      </w:r>
    </w:p>
    <w:p w:rsidR="002C410D" w:rsidRPr="00411686" w:rsidRDefault="002C410D" w:rsidP="003E686F">
      <w:pPr>
        <w:autoSpaceDE w:val="0"/>
        <w:autoSpaceDN w:val="0"/>
        <w:adjustRightInd w:val="0"/>
        <w:jc w:val="both"/>
        <w:rPr>
          <w:szCs w:val="24"/>
        </w:rPr>
      </w:pPr>
      <w:r w:rsidRPr="00411686">
        <w:rPr>
          <w:szCs w:val="24"/>
        </w:rPr>
        <w:t>Kategorie mentálního postižení je v našem zařízení zastoupena ve všech svých základních typech. Především hlubší pásma mentální retardace jsou často doprovázena dalšími přidruženými postiženími. Proto naše instituce reaguje na aktuální vývoj a požadavky klientů.</w:t>
      </w:r>
    </w:p>
    <w:p w:rsidR="002C410D" w:rsidRPr="00411686" w:rsidRDefault="002C410D" w:rsidP="003E686F">
      <w:pPr>
        <w:autoSpaceDE w:val="0"/>
        <w:autoSpaceDN w:val="0"/>
        <w:adjustRightInd w:val="0"/>
        <w:jc w:val="both"/>
        <w:rPr>
          <w:b/>
          <w:szCs w:val="24"/>
        </w:rPr>
      </w:pPr>
      <w:r w:rsidRPr="00411686">
        <w:rPr>
          <w:szCs w:val="24"/>
        </w:rPr>
        <w:t xml:space="preserve">Vzhledem k tomu, že uživatelé představují naprosto individuální specifické </w:t>
      </w:r>
      <w:proofErr w:type="gramStart"/>
      <w:r w:rsidRPr="00411686">
        <w:rPr>
          <w:szCs w:val="24"/>
        </w:rPr>
        <w:t>požadavky,  využíváme</w:t>
      </w:r>
      <w:proofErr w:type="gramEnd"/>
      <w:r w:rsidRPr="00411686">
        <w:rPr>
          <w:szCs w:val="24"/>
        </w:rPr>
        <w:t xml:space="preserve"> v našem působení také pomoci prostředků alternativní a augmentativní komunikace, výtvarné aktivity, muziko - rehabilitaci, sportovní aktivity. Naše působení se zaměřuje na osoby se zdravotním postižením, proto se věnujeme také speciálně – pedagogickým a speciálně-rehabilitačním činnostem, kdy usilujeme o prohlubování a upevňování dovedností, které uživatelé získaly. Snažíme se o větší rozsah zkušeností a dalších kompetencí, které napomáhají samostatnému vyjádření a tedy samostatné existenci osob se specifickými potřebami. Věnujeme se rozvoji </w:t>
      </w:r>
      <w:proofErr w:type="spellStart"/>
      <w:r w:rsidRPr="00411686">
        <w:rPr>
          <w:szCs w:val="24"/>
        </w:rPr>
        <w:t>grafomotoriky</w:t>
      </w:r>
      <w:proofErr w:type="spellEnd"/>
      <w:r w:rsidRPr="00411686">
        <w:rPr>
          <w:szCs w:val="24"/>
        </w:rPr>
        <w:t>, pohybových schopností, procvičujeme a posilujeme dovednosti v oblasti čtení, psaní, počítání. Velice významná je oblast podpory sociálních a komunikačních schopností. Proto v našem úsilí využíváme prostředky alternativní a augmentativní komunikace. Pro snadnější orientaci osob s kombinovaným smyslovým postižením jsme zvolili vymalování schodiště a společných prostor v budově denního stacionáře kontrastními barvami. Hledáme další možnosti, jak dovolit vyjádřit názor a přání, také osobám s těžkým kombinovaným postižením.</w:t>
      </w:r>
    </w:p>
    <w:p w:rsidR="002C410D" w:rsidRPr="00411686" w:rsidRDefault="002C410D" w:rsidP="003E686F">
      <w:pPr>
        <w:autoSpaceDE w:val="0"/>
        <w:autoSpaceDN w:val="0"/>
        <w:adjustRightInd w:val="0"/>
        <w:jc w:val="both"/>
        <w:rPr>
          <w:szCs w:val="24"/>
        </w:rPr>
      </w:pPr>
      <w:r w:rsidRPr="00411686">
        <w:rPr>
          <w:szCs w:val="24"/>
        </w:rPr>
        <w:t xml:space="preserve">Tyto další možnosti představuje také oslovování možných podporovatelů a dárců, díky kterým můžeme pracovat s terapeutickými a rehabilitačními pomůckami, můžeme navštěvovat kulturní a společenské akce, které přirozeně napomáhají rozvíjet sociální dovednosti našich uživatelů. </w:t>
      </w:r>
    </w:p>
    <w:p w:rsidR="002C410D" w:rsidRPr="00411686" w:rsidRDefault="002C410D" w:rsidP="003E686F">
      <w:pPr>
        <w:autoSpaceDE w:val="0"/>
        <w:autoSpaceDN w:val="0"/>
        <w:adjustRightInd w:val="0"/>
        <w:jc w:val="both"/>
        <w:rPr>
          <w:szCs w:val="24"/>
        </w:rPr>
      </w:pPr>
      <w:r w:rsidRPr="00411686">
        <w:rPr>
          <w:szCs w:val="24"/>
        </w:rPr>
        <w:t xml:space="preserve">Velice významná je oblast podpory sociálních a komunikačních schopností. Proto v našem úsilí využíváme prostředky alternativní a augmentativní komunikace a hledáme další možnosti, jak dovolit vyjádřit názor, přání, také osobám s </w:t>
      </w:r>
      <w:r w:rsidRPr="00411686">
        <w:rPr>
          <w:b/>
          <w:szCs w:val="24"/>
        </w:rPr>
        <w:t>těžkým kombinovaným postižením</w:t>
      </w:r>
      <w:r w:rsidRPr="00411686">
        <w:rPr>
          <w:szCs w:val="24"/>
        </w:rPr>
        <w:t xml:space="preserve">. Jsme v blízkém kontaktu s odborníky na danou problematiku, například s </w:t>
      </w:r>
      <w:r w:rsidRPr="00411686">
        <w:rPr>
          <w:szCs w:val="24"/>
        </w:rPr>
        <w:lastRenderedPageBreak/>
        <w:t>Asociací pomáhající lidem s Autismem – dnes odborné pracoviště NAUTIS, s klinickým logopedem, s odborníkem zaměřeným na sexualitu lidí s mentálním postižením, s obecně prospěšnou společností Rytmus, která nám pomohla najít zaměstnání některým uživatelům s handicapem. Dále služby</w:t>
      </w:r>
      <w:r w:rsidR="00C6100E" w:rsidRPr="00411686">
        <w:rPr>
          <w:szCs w:val="24"/>
        </w:rPr>
        <w:t xml:space="preserve"> </w:t>
      </w:r>
      <w:r w:rsidRPr="00411686">
        <w:rPr>
          <w:szCs w:val="24"/>
        </w:rPr>
        <w:t>denního stacionáře využívají uživatelé bydlící v chráněném bydlení společnosti Dolmen.</w:t>
      </w:r>
    </w:p>
    <w:p w:rsidR="002C410D" w:rsidRPr="00411686" w:rsidRDefault="002C410D" w:rsidP="003E686F">
      <w:pPr>
        <w:autoSpaceDE w:val="0"/>
        <w:autoSpaceDN w:val="0"/>
        <w:adjustRightInd w:val="0"/>
        <w:jc w:val="both"/>
        <w:rPr>
          <w:szCs w:val="24"/>
        </w:rPr>
      </w:pPr>
      <w:r w:rsidRPr="00411686">
        <w:rPr>
          <w:szCs w:val="24"/>
        </w:rPr>
        <w:t>V návaznosti na námi nabízené aktivity vytváříme možnosti pro širší sociální interakci všech našich uživatelů.</w:t>
      </w:r>
    </w:p>
    <w:p w:rsidR="002C410D" w:rsidRPr="00411686" w:rsidRDefault="002C410D" w:rsidP="003E686F">
      <w:pPr>
        <w:autoSpaceDE w:val="0"/>
        <w:autoSpaceDN w:val="0"/>
        <w:adjustRightInd w:val="0"/>
        <w:jc w:val="both"/>
        <w:rPr>
          <w:szCs w:val="24"/>
        </w:rPr>
      </w:pPr>
      <w:r w:rsidRPr="00411686">
        <w:rPr>
          <w:szCs w:val="24"/>
        </w:rPr>
        <w:t xml:space="preserve">Kalendářní rok 2018 byl velice významný rozmanitostí a účastí našich uživatelů na sportovních aktivitách. Jmenujme například Regionální turnaj ve stolním tenisu. Zúčastnili jsme se Národního turnaje Českého hnutí speciálních olympiád (ČHSO) ve </w:t>
      </w:r>
      <w:r w:rsidR="00090EB9" w:rsidRPr="00411686">
        <w:rPr>
          <w:szCs w:val="24"/>
        </w:rPr>
        <w:t>stolním tenise</w:t>
      </w:r>
      <w:r w:rsidRPr="00411686">
        <w:rPr>
          <w:szCs w:val="24"/>
        </w:rPr>
        <w:t xml:space="preserve"> ve Dvoře Králové nad Labem, kde naši sportovci získali významná umístění a ocenění, Národního turnaje ČHSO v přehazované – Dřevěnice 2018. Postoupili jsme a reprezentovali naši organizaci na mistrovských soutěžích (např. Mistrovství ČR v horské cyklistice) a umožnili jsme sportovní zážitky také uživatelům s těžkým kombinovaným postižením (např. Krakonošův trojboj a Tanvaldský desetiboj). </w:t>
      </w:r>
    </w:p>
    <w:p w:rsidR="002C410D" w:rsidRPr="00411686" w:rsidRDefault="002C410D" w:rsidP="003E686F">
      <w:pPr>
        <w:autoSpaceDE w:val="0"/>
        <w:autoSpaceDN w:val="0"/>
        <w:adjustRightInd w:val="0"/>
        <w:jc w:val="both"/>
        <w:rPr>
          <w:szCs w:val="24"/>
        </w:rPr>
      </w:pPr>
      <w:r w:rsidRPr="00411686">
        <w:rPr>
          <w:szCs w:val="24"/>
        </w:rPr>
        <w:t>Získali jsme významná ocenění na soutěžích v plavání, jízdě na kole, v rozmanitých atletických disciplínách na Regionálních hrách speciálních olympiád v Brně, v běhu Mladé Běchovice (3 medaile), v netradiční sportovní disciplíně boccie. Pokračujeme s tréninkem gymnastické sestavy, abychom se mohli zúčastnit gymnastických závodů.</w:t>
      </w:r>
    </w:p>
    <w:p w:rsidR="002C410D" w:rsidRPr="00411686" w:rsidRDefault="002C410D" w:rsidP="003E686F">
      <w:pPr>
        <w:autoSpaceDE w:val="0"/>
        <w:autoSpaceDN w:val="0"/>
        <w:adjustRightInd w:val="0"/>
        <w:jc w:val="both"/>
        <w:rPr>
          <w:szCs w:val="24"/>
        </w:rPr>
      </w:pPr>
      <w:r w:rsidRPr="00411686">
        <w:rPr>
          <w:szCs w:val="24"/>
        </w:rPr>
        <w:t>Pravidelně jsme se zúčastnili výtvarných soutěží, kdy spolupracujeme s Komunitním centrem Česká Lípa, Sdružením zdravotně postižených ČR, Městskou knihovnou v České Lípě, dále s Městskou knihovnou v Mimoni a dalšími přátelskými organizacemi. Pravidelně připravujeme mezigenerační setkávání s uživateli se zařízení pro seniory. Mezi naše oblíbené soutěže patří CENA MODRÉHO SLONA, kam naši uživatelé zaslali výtvarná díla, keramické a rukodělné výrobky. Mezi další oblíbené aktivity patřila účast na počítačovém kurzu, který pořádalo Komunitní centrum Česká Lípa a který pokračuje také v současné době. Účastnili jsme se reprezentativních akcí,</w:t>
      </w:r>
      <w:r w:rsidR="004055D9" w:rsidRPr="00411686">
        <w:rPr>
          <w:szCs w:val="24"/>
        </w:rPr>
        <w:t xml:space="preserve"> například na velikonočních a vánočních trzích,</w:t>
      </w:r>
      <w:r w:rsidR="0089362F" w:rsidRPr="00411686">
        <w:rPr>
          <w:szCs w:val="24"/>
        </w:rPr>
        <w:t xml:space="preserve"> na Dni zdraví,</w:t>
      </w:r>
      <w:r w:rsidRPr="00411686">
        <w:rPr>
          <w:szCs w:val="24"/>
        </w:rPr>
        <w:t xml:space="preserve"> kde jsme měli možnost seznamovat širokou veřejnost s naší sociální službou a ukázat krásné výrobky,</w:t>
      </w:r>
      <w:r w:rsidR="004055D9" w:rsidRPr="00411686">
        <w:rPr>
          <w:szCs w:val="24"/>
        </w:rPr>
        <w:t xml:space="preserve"> </w:t>
      </w:r>
      <w:r w:rsidR="0089362F" w:rsidRPr="00411686">
        <w:rPr>
          <w:szCs w:val="24"/>
        </w:rPr>
        <w:t xml:space="preserve">které naši uživatelé vytvořili. </w:t>
      </w:r>
      <w:r w:rsidR="004055D9" w:rsidRPr="00411686">
        <w:rPr>
          <w:szCs w:val="24"/>
        </w:rPr>
        <w:t xml:space="preserve"> </w:t>
      </w:r>
    </w:p>
    <w:p w:rsidR="002C410D" w:rsidRPr="00411686" w:rsidRDefault="002C410D" w:rsidP="003E686F">
      <w:pPr>
        <w:autoSpaceDE w:val="0"/>
        <w:autoSpaceDN w:val="0"/>
        <w:adjustRightInd w:val="0"/>
        <w:jc w:val="both"/>
        <w:rPr>
          <w:szCs w:val="24"/>
        </w:rPr>
      </w:pPr>
      <w:r w:rsidRPr="00411686">
        <w:rPr>
          <w:szCs w:val="24"/>
        </w:rPr>
        <w:t xml:space="preserve">Dále jsme připravovali jednodenní výlety podle přání našich uživatelů, účastnili jsme se tanečních, hudebních a jiných kulturních festivalů. </w:t>
      </w:r>
      <w:proofErr w:type="gramStart"/>
      <w:r w:rsidRPr="00411686">
        <w:rPr>
          <w:szCs w:val="24"/>
        </w:rPr>
        <w:t>Jmenujme</w:t>
      </w:r>
      <w:proofErr w:type="gramEnd"/>
      <w:r w:rsidRPr="00411686">
        <w:rPr>
          <w:szCs w:val="24"/>
        </w:rPr>
        <w:t xml:space="preserve"> například festival </w:t>
      </w:r>
      <w:proofErr w:type="gramStart"/>
      <w:r w:rsidRPr="00411686">
        <w:rPr>
          <w:szCs w:val="24"/>
        </w:rPr>
        <w:t>PATŘÍME</w:t>
      </w:r>
      <w:proofErr w:type="gramEnd"/>
      <w:r w:rsidRPr="00411686">
        <w:rPr>
          <w:szCs w:val="24"/>
        </w:rPr>
        <w:t xml:space="preserve"> K SOBĚ, který má dlouho</w:t>
      </w:r>
      <w:r w:rsidR="00C6100E" w:rsidRPr="00411686">
        <w:rPr>
          <w:szCs w:val="24"/>
        </w:rPr>
        <w:t>u</w:t>
      </w:r>
      <w:r w:rsidRPr="00411686">
        <w:rPr>
          <w:szCs w:val="24"/>
        </w:rPr>
        <w:t xml:space="preserve"> tradici, TAK TO UMÍME MY, UMÍME SE BAVIT, taneční soutěže. Velikému zájmu se těší jednodenní poznávací a zážitkové exkurze (např. cukrovar a lihovar v Dobrovicích, čokoládovna atd.), návštěvy hokejových utkání Bílých tygrů v Liberci. </w:t>
      </w:r>
    </w:p>
    <w:p w:rsidR="002C410D" w:rsidRPr="00411686" w:rsidRDefault="002C410D" w:rsidP="003E686F">
      <w:pPr>
        <w:autoSpaceDE w:val="0"/>
        <w:autoSpaceDN w:val="0"/>
        <w:adjustRightInd w:val="0"/>
        <w:jc w:val="both"/>
        <w:rPr>
          <w:szCs w:val="24"/>
        </w:rPr>
      </w:pPr>
      <w:r w:rsidRPr="00411686">
        <w:rPr>
          <w:szCs w:val="24"/>
        </w:rPr>
        <w:t>Pravidelně jsme navštěvovali tělocvičnu v základní škole, kde jsme trénovali florbal. Dále byla využívána profesionální tělocvična a to z důvodu tréninku moderní sportovní disciplíny, která se nazývá boccia, dále jsme trénovali přehazovanou a taneční a gymnastická vystoupení. Navštěvovali jsme Sportovní areál v České Lípě, kde pravidelně probíhal trénink plavání. Dále jsme navštěvovali městskou knihovnu, kde pracovníci připravovali pro naše uživatele tematické bloky, vyprávění, soutěžní kvízy atd. Účastnili jsme se odpoledních programů arteterapie,</w:t>
      </w:r>
      <w:r w:rsidR="0062401D" w:rsidRPr="00411686">
        <w:rPr>
          <w:szCs w:val="24"/>
        </w:rPr>
        <w:t xml:space="preserve"> k</w:t>
      </w:r>
      <w:r w:rsidRPr="00411686">
        <w:rPr>
          <w:szCs w:val="24"/>
        </w:rPr>
        <w:t>oncertů, divadelních a muzikálových představení.</w:t>
      </w:r>
      <w:r w:rsidR="0062401D" w:rsidRPr="00411686">
        <w:rPr>
          <w:szCs w:val="24"/>
        </w:rPr>
        <w:t xml:space="preserve"> </w:t>
      </w:r>
    </w:p>
    <w:p w:rsidR="00411686" w:rsidRPr="00411686" w:rsidRDefault="0062401D" w:rsidP="003E686F">
      <w:pPr>
        <w:autoSpaceDE w:val="0"/>
        <w:autoSpaceDN w:val="0"/>
        <w:adjustRightInd w:val="0"/>
        <w:jc w:val="both"/>
        <w:rPr>
          <w:szCs w:val="24"/>
        </w:rPr>
      </w:pPr>
      <w:r w:rsidRPr="00411686">
        <w:rPr>
          <w:szCs w:val="24"/>
        </w:rPr>
        <w:t>Novinkou bylo uskutečnění odborné besedy k tématu „Armáda České republiky“, kdy se uživatelé osobně setkali s</w:t>
      </w:r>
      <w:r w:rsidR="00411686" w:rsidRPr="00411686">
        <w:rPr>
          <w:szCs w:val="24"/>
        </w:rPr>
        <w:t xml:space="preserve"> profesionálními </w:t>
      </w:r>
      <w:r w:rsidRPr="00411686">
        <w:rPr>
          <w:szCs w:val="24"/>
        </w:rPr>
        <w:t xml:space="preserve">vojáky. </w:t>
      </w:r>
      <w:r w:rsidR="002474D7" w:rsidRPr="00411686">
        <w:rPr>
          <w:szCs w:val="24"/>
        </w:rPr>
        <w:t>Další úz</w:t>
      </w:r>
      <w:r w:rsidR="00411686" w:rsidRPr="00411686">
        <w:rPr>
          <w:szCs w:val="24"/>
        </w:rPr>
        <w:t xml:space="preserve">kou spoluprací jsou konzultace a </w:t>
      </w:r>
      <w:r w:rsidR="002474D7" w:rsidRPr="00411686">
        <w:rPr>
          <w:szCs w:val="24"/>
        </w:rPr>
        <w:t xml:space="preserve">přednášky </w:t>
      </w:r>
      <w:r w:rsidR="00411686" w:rsidRPr="00411686">
        <w:rPr>
          <w:szCs w:val="24"/>
        </w:rPr>
        <w:t xml:space="preserve">s organizací Líp a spolu - PAS (problematika autismu) </w:t>
      </w:r>
      <w:r w:rsidR="002474D7" w:rsidRPr="00411686">
        <w:rPr>
          <w:szCs w:val="24"/>
        </w:rPr>
        <w:t>a organizací Tulipán (</w:t>
      </w:r>
      <w:r w:rsidR="00411686" w:rsidRPr="00411686">
        <w:rPr>
          <w:szCs w:val="24"/>
        </w:rPr>
        <w:t xml:space="preserve">v oblasti </w:t>
      </w:r>
      <w:r w:rsidR="002474D7" w:rsidRPr="00411686">
        <w:rPr>
          <w:szCs w:val="24"/>
        </w:rPr>
        <w:t>péče o pečující)</w:t>
      </w:r>
      <w:r w:rsidR="00411686" w:rsidRPr="00411686">
        <w:rPr>
          <w:szCs w:val="24"/>
        </w:rPr>
        <w:t>.</w:t>
      </w:r>
    </w:p>
    <w:p w:rsidR="002C410D" w:rsidRPr="00411686" w:rsidRDefault="002C410D" w:rsidP="003E686F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411686">
        <w:rPr>
          <w:szCs w:val="24"/>
        </w:rPr>
        <w:t>K přemísťování imobilních uživatelů využíváme nízkopodlažní vozidlo Ford Transit.</w:t>
      </w:r>
    </w:p>
    <w:p w:rsidR="00411686" w:rsidRDefault="00411686" w:rsidP="003E686F">
      <w:pPr>
        <w:jc w:val="both"/>
        <w:rPr>
          <w:b/>
          <w:szCs w:val="24"/>
        </w:rPr>
      </w:pPr>
    </w:p>
    <w:p w:rsidR="00C1207D" w:rsidRDefault="00C1207D" w:rsidP="003E686F">
      <w:pPr>
        <w:jc w:val="both"/>
        <w:rPr>
          <w:b/>
          <w:szCs w:val="24"/>
        </w:rPr>
      </w:pPr>
    </w:p>
    <w:p w:rsidR="00C1207D" w:rsidRDefault="00C1207D" w:rsidP="003E686F">
      <w:pPr>
        <w:jc w:val="both"/>
        <w:rPr>
          <w:b/>
          <w:szCs w:val="24"/>
        </w:rPr>
      </w:pPr>
    </w:p>
    <w:p w:rsidR="00411686" w:rsidRPr="00411686" w:rsidRDefault="00411686" w:rsidP="002C410D">
      <w:pPr>
        <w:jc w:val="both"/>
        <w:rPr>
          <w:b/>
          <w:szCs w:val="24"/>
        </w:rPr>
      </w:pPr>
    </w:p>
    <w:p w:rsidR="002C410D" w:rsidRPr="00411686" w:rsidRDefault="002C410D" w:rsidP="00411686">
      <w:pPr>
        <w:spacing w:line="360" w:lineRule="auto"/>
        <w:jc w:val="both"/>
        <w:rPr>
          <w:b/>
          <w:szCs w:val="24"/>
        </w:rPr>
      </w:pPr>
      <w:r w:rsidRPr="00411686">
        <w:rPr>
          <w:b/>
          <w:szCs w:val="24"/>
        </w:rPr>
        <w:lastRenderedPageBreak/>
        <w:t xml:space="preserve">Sociální oblast a statistické údaje: </w:t>
      </w:r>
    </w:p>
    <w:p w:rsidR="002C410D" w:rsidRPr="00411686" w:rsidRDefault="002C410D" w:rsidP="003E686F">
      <w:pPr>
        <w:pStyle w:val="Zkladntext"/>
        <w:jc w:val="both"/>
        <w:rPr>
          <w:b w:val="0"/>
          <w:szCs w:val="24"/>
        </w:rPr>
      </w:pPr>
      <w:r w:rsidRPr="00411686">
        <w:rPr>
          <w:b w:val="0"/>
          <w:szCs w:val="24"/>
        </w:rPr>
        <w:t>Průměrný věk uživatelů v roce 2018 byl 33 let.</w:t>
      </w:r>
    </w:p>
    <w:p w:rsidR="002C410D" w:rsidRPr="00411686" w:rsidRDefault="002C410D" w:rsidP="003E686F">
      <w:pPr>
        <w:pStyle w:val="Zkladntext"/>
        <w:jc w:val="both"/>
        <w:rPr>
          <w:b w:val="0"/>
          <w:szCs w:val="24"/>
        </w:rPr>
      </w:pPr>
      <w:r w:rsidRPr="00411686">
        <w:rPr>
          <w:b w:val="0"/>
          <w:szCs w:val="24"/>
        </w:rPr>
        <w:t>Okamžitá kapacita služby je 45 míst. V roce 2018 prošlo naší službou 58 uživatelů. Bylo přijato devět nových uživatelů. Se čtyřmi uživateli byla smlouva o využívání služby ukončena. V jednom případě uživatel začal využívat následnou pobytovou službu, ve dvou případech uživatelé zahájili opět povinnou školní docházku, jeden uživatel zůstal v domácím prostředí a našel si práci. Někteří uživatelé využívají službu částečně (v odpoledních hodinách, v období prázdnin), neboť ještě navštěvují základní školu.</w:t>
      </w:r>
    </w:p>
    <w:p w:rsidR="002C410D" w:rsidRPr="00411686" w:rsidRDefault="002C410D" w:rsidP="003E686F">
      <w:pPr>
        <w:pStyle w:val="Zkladntext"/>
        <w:jc w:val="both"/>
        <w:rPr>
          <w:b w:val="0"/>
          <w:szCs w:val="24"/>
        </w:rPr>
      </w:pPr>
      <w:r w:rsidRPr="00411686">
        <w:rPr>
          <w:b w:val="0"/>
          <w:szCs w:val="24"/>
        </w:rPr>
        <w:t xml:space="preserve">Naše organizace se řídí Standardy kvality. Cíle uživatelů jsou naplňovány v rámci individuálního plánování prostřednictvím veškerých aktivit </w:t>
      </w:r>
      <w:r w:rsidR="00411686" w:rsidRPr="00411686">
        <w:rPr>
          <w:b w:val="0"/>
          <w:szCs w:val="24"/>
        </w:rPr>
        <w:t>de</w:t>
      </w:r>
      <w:r w:rsidRPr="00411686">
        <w:rPr>
          <w:b w:val="0"/>
          <w:szCs w:val="24"/>
        </w:rPr>
        <w:t xml:space="preserve">nního stacionáře. Průvodci a rádci při naplňování cílů jsou uživatelům pracovníci v sociálních službách = klíčoví pracovníci = Sluníčka (název zvolený přímo uživateli). Klíčoví pracovníci při naplňování cílů uživatelů spolupracují s rodinnými příslušníky, odborníky a dalšími sociálními službami. </w:t>
      </w:r>
    </w:p>
    <w:p w:rsidR="002C410D" w:rsidRPr="00411686" w:rsidRDefault="002C410D" w:rsidP="003E686F">
      <w:pPr>
        <w:pStyle w:val="Zkladntext"/>
        <w:jc w:val="both"/>
        <w:rPr>
          <w:b w:val="0"/>
          <w:szCs w:val="24"/>
        </w:rPr>
      </w:pPr>
    </w:p>
    <w:p w:rsidR="002C410D" w:rsidRPr="00411686" w:rsidRDefault="002C410D" w:rsidP="003E686F">
      <w:pPr>
        <w:pStyle w:val="Zkladntext"/>
        <w:jc w:val="both"/>
        <w:rPr>
          <w:b w:val="0"/>
          <w:szCs w:val="24"/>
        </w:rPr>
      </w:pPr>
      <w:r w:rsidRPr="00411686">
        <w:rPr>
          <w:b w:val="0"/>
          <w:szCs w:val="24"/>
        </w:rPr>
        <w:t xml:space="preserve">Uživatelům a jejich rodinám je pravidelně poskytováno sociální poradenství. Nejčastějšími projednávanými oblastmi jsou: </w:t>
      </w:r>
    </w:p>
    <w:p w:rsidR="002C410D" w:rsidRPr="00411686" w:rsidRDefault="002C410D" w:rsidP="005C7EF8">
      <w:pPr>
        <w:pStyle w:val="Zkladntext"/>
        <w:numPr>
          <w:ilvl w:val="0"/>
          <w:numId w:val="5"/>
        </w:numPr>
        <w:spacing w:after="120"/>
        <w:jc w:val="both"/>
        <w:rPr>
          <w:b w:val="0"/>
          <w:szCs w:val="24"/>
        </w:rPr>
      </w:pPr>
      <w:r w:rsidRPr="00411686">
        <w:rPr>
          <w:b w:val="0"/>
          <w:szCs w:val="24"/>
        </w:rPr>
        <w:t>dávky sociální péče</w:t>
      </w:r>
    </w:p>
    <w:p w:rsidR="002C410D" w:rsidRPr="00411686" w:rsidRDefault="002C410D" w:rsidP="005C7EF8">
      <w:pPr>
        <w:pStyle w:val="Zkladntext"/>
        <w:numPr>
          <w:ilvl w:val="0"/>
          <w:numId w:val="5"/>
        </w:numPr>
        <w:spacing w:after="120"/>
        <w:jc w:val="both"/>
        <w:rPr>
          <w:b w:val="0"/>
          <w:szCs w:val="24"/>
        </w:rPr>
      </w:pPr>
      <w:r w:rsidRPr="00411686">
        <w:rPr>
          <w:b w:val="0"/>
          <w:szCs w:val="24"/>
        </w:rPr>
        <w:t>podpora při jednání s úřady</w:t>
      </w:r>
    </w:p>
    <w:p w:rsidR="002C410D" w:rsidRPr="00411686" w:rsidRDefault="002C410D" w:rsidP="005C7EF8">
      <w:pPr>
        <w:pStyle w:val="Zkladntext"/>
        <w:numPr>
          <w:ilvl w:val="0"/>
          <w:numId w:val="5"/>
        </w:numPr>
        <w:spacing w:after="120"/>
        <w:jc w:val="both"/>
        <w:rPr>
          <w:b w:val="0"/>
          <w:szCs w:val="24"/>
        </w:rPr>
      </w:pPr>
      <w:r w:rsidRPr="00411686">
        <w:rPr>
          <w:b w:val="0"/>
          <w:szCs w:val="24"/>
        </w:rPr>
        <w:t>současné možnosti – využívání dalších sociálních služeb, jako jsou odlehčovací pobyty, služby zabývající se zaměstnáváním osob se zdravotním postižením, apod.</w:t>
      </w:r>
    </w:p>
    <w:p w:rsidR="002C410D" w:rsidRPr="00411686" w:rsidRDefault="002C410D" w:rsidP="005C7EF8">
      <w:pPr>
        <w:pStyle w:val="Zkladntext"/>
        <w:numPr>
          <w:ilvl w:val="0"/>
          <w:numId w:val="5"/>
        </w:numPr>
        <w:spacing w:after="120"/>
        <w:jc w:val="both"/>
        <w:rPr>
          <w:b w:val="0"/>
          <w:szCs w:val="24"/>
        </w:rPr>
      </w:pPr>
      <w:r w:rsidRPr="00411686">
        <w:rPr>
          <w:b w:val="0"/>
          <w:szCs w:val="24"/>
        </w:rPr>
        <w:t xml:space="preserve">nabídka kurzů a vzdělávání jak pro uživatele, tak pro pečující </w:t>
      </w:r>
    </w:p>
    <w:p w:rsidR="002C410D" w:rsidRPr="00411686" w:rsidRDefault="002C410D" w:rsidP="005C7EF8">
      <w:pPr>
        <w:pStyle w:val="Zkladntext"/>
        <w:numPr>
          <w:ilvl w:val="0"/>
          <w:numId w:val="5"/>
        </w:numPr>
        <w:spacing w:after="120"/>
        <w:jc w:val="both"/>
        <w:rPr>
          <w:b w:val="0"/>
          <w:szCs w:val="24"/>
        </w:rPr>
      </w:pPr>
      <w:r w:rsidRPr="00411686">
        <w:rPr>
          <w:b w:val="0"/>
          <w:szCs w:val="24"/>
        </w:rPr>
        <w:t xml:space="preserve">budoucnost uživatelů, respektive možnosti následných pobytových služeb </w:t>
      </w:r>
    </w:p>
    <w:p w:rsidR="00863741" w:rsidRPr="00411686" w:rsidRDefault="00863741" w:rsidP="005C7EF8">
      <w:pPr>
        <w:pStyle w:val="Zkladntext"/>
        <w:numPr>
          <w:ilvl w:val="0"/>
          <w:numId w:val="5"/>
        </w:numPr>
        <w:spacing w:after="120"/>
        <w:jc w:val="both"/>
        <w:rPr>
          <w:b w:val="0"/>
          <w:szCs w:val="24"/>
        </w:rPr>
      </w:pPr>
      <w:r w:rsidRPr="00411686">
        <w:rPr>
          <w:b w:val="0"/>
          <w:szCs w:val="24"/>
        </w:rPr>
        <w:t>získávání finančních prostředků od nadací a sponzorů pro individuální potřeby rodinného příslušníka se zdravotním postižením</w:t>
      </w:r>
    </w:p>
    <w:p w:rsidR="002C410D" w:rsidRPr="00411686" w:rsidRDefault="002C410D" w:rsidP="003E686F">
      <w:pPr>
        <w:jc w:val="both"/>
        <w:rPr>
          <w:szCs w:val="24"/>
        </w:rPr>
      </w:pPr>
    </w:p>
    <w:p w:rsidR="002C410D" w:rsidRPr="00411686" w:rsidRDefault="002C410D" w:rsidP="003E686F">
      <w:pPr>
        <w:jc w:val="both"/>
        <w:rPr>
          <w:szCs w:val="24"/>
        </w:rPr>
      </w:pPr>
      <w:r w:rsidRPr="00411686">
        <w:rPr>
          <w:szCs w:val="24"/>
        </w:rPr>
        <w:t xml:space="preserve">Službu využívalo nepatrně více mužů než žen, respektive 26 žen a 32 mužů. </w:t>
      </w:r>
    </w:p>
    <w:p w:rsidR="002C410D" w:rsidRPr="00411686" w:rsidRDefault="002C410D" w:rsidP="002C410D">
      <w:pPr>
        <w:spacing w:line="276" w:lineRule="auto"/>
        <w:jc w:val="both"/>
        <w:rPr>
          <w:szCs w:val="24"/>
        </w:rPr>
      </w:pPr>
    </w:p>
    <w:p w:rsidR="002C410D" w:rsidRPr="00411686" w:rsidRDefault="002C410D" w:rsidP="002C410D">
      <w:pPr>
        <w:spacing w:line="276" w:lineRule="auto"/>
        <w:jc w:val="both"/>
        <w:rPr>
          <w:szCs w:val="24"/>
        </w:rPr>
      </w:pPr>
      <w:r w:rsidRPr="00411686">
        <w:rPr>
          <w:szCs w:val="24"/>
        </w:rPr>
        <w:t xml:space="preserve">Uživatelé dle stupně závislosti na pomoci druhé osoby – dle příspěvku na péči: </w:t>
      </w:r>
    </w:p>
    <w:tbl>
      <w:tblPr>
        <w:tblStyle w:val="Mkatabulky"/>
        <w:tblW w:w="0" w:type="auto"/>
        <w:tblLook w:val="04A0"/>
      </w:tblPr>
      <w:tblGrid>
        <w:gridCol w:w="2797"/>
        <w:gridCol w:w="2312"/>
        <w:gridCol w:w="2053"/>
        <w:gridCol w:w="2124"/>
      </w:tblGrid>
      <w:tr w:rsidR="00411686" w:rsidRPr="00411686" w:rsidTr="00411686">
        <w:tc>
          <w:tcPr>
            <w:tcW w:w="2797" w:type="dxa"/>
          </w:tcPr>
          <w:p w:rsidR="00411686" w:rsidRPr="00411686" w:rsidRDefault="00411686" w:rsidP="00A44AD5">
            <w:pPr>
              <w:spacing w:line="276" w:lineRule="auto"/>
              <w:jc w:val="both"/>
              <w:rPr>
                <w:szCs w:val="24"/>
              </w:rPr>
            </w:pPr>
            <w:r w:rsidRPr="00411686">
              <w:rPr>
                <w:szCs w:val="24"/>
              </w:rPr>
              <w:t>I. stupeň závislosti</w:t>
            </w:r>
          </w:p>
        </w:tc>
        <w:tc>
          <w:tcPr>
            <w:tcW w:w="2312" w:type="dxa"/>
          </w:tcPr>
          <w:p w:rsidR="00411686" w:rsidRPr="00411686" w:rsidRDefault="00411686" w:rsidP="00A44AD5">
            <w:pPr>
              <w:spacing w:line="276" w:lineRule="auto"/>
              <w:jc w:val="center"/>
              <w:rPr>
                <w:szCs w:val="24"/>
              </w:rPr>
            </w:pPr>
            <w:r w:rsidRPr="00411686">
              <w:rPr>
                <w:szCs w:val="24"/>
              </w:rPr>
              <w:t>3 uživatelé</w:t>
            </w:r>
          </w:p>
        </w:tc>
        <w:tc>
          <w:tcPr>
            <w:tcW w:w="2053" w:type="dxa"/>
          </w:tcPr>
          <w:p w:rsidR="00411686" w:rsidRPr="00411686" w:rsidRDefault="00411686" w:rsidP="00A44AD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124" w:type="dxa"/>
          </w:tcPr>
          <w:p w:rsidR="00411686" w:rsidRPr="00411686" w:rsidRDefault="00411686" w:rsidP="00A44AD5">
            <w:pPr>
              <w:spacing w:line="276" w:lineRule="auto"/>
              <w:jc w:val="center"/>
              <w:rPr>
                <w:szCs w:val="24"/>
              </w:rPr>
            </w:pPr>
            <w:r w:rsidRPr="00411686">
              <w:rPr>
                <w:szCs w:val="24"/>
              </w:rPr>
              <w:t>5%</w:t>
            </w:r>
          </w:p>
        </w:tc>
      </w:tr>
      <w:tr w:rsidR="00411686" w:rsidRPr="00411686" w:rsidTr="00411686">
        <w:tc>
          <w:tcPr>
            <w:tcW w:w="2797" w:type="dxa"/>
          </w:tcPr>
          <w:p w:rsidR="00411686" w:rsidRPr="00411686" w:rsidRDefault="00411686" w:rsidP="00A44AD5">
            <w:pPr>
              <w:spacing w:line="276" w:lineRule="auto"/>
              <w:jc w:val="both"/>
              <w:rPr>
                <w:szCs w:val="24"/>
              </w:rPr>
            </w:pPr>
            <w:r w:rsidRPr="00411686">
              <w:rPr>
                <w:szCs w:val="24"/>
              </w:rPr>
              <w:t>II. stupeň závislosti</w:t>
            </w:r>
          </w:p>
        </w:tc>
        <w:tc>
          <w:tcPr>
            <w:tcW w:w="2312" w:type="dxa"/>
          </w:tcPr>
          <w:p w:rsidR="00411686" w:rsidRPr="00411686" w:rsidRDefault="00411686" w:rsidP="00A44AD5">
            <w:pPr>
              <w:spacing w:line="276" w:lineRule="auto"/>
              <w:jc w:val="center"/>
              <w:rPr>
                <w:szCs w:val="24"/>
              </w:rPr>
            </w:pPr>
            <w:r w:rsidRPr="00411686">
              <w:rPr>
                <w:szCs w:val="24"/>
              </w:rPr>
              <w:t>19 uživatelů</w:t>
            </w:r>
          </w:p>
        </w:tc>
        <w:tc>
          <w:tcPr>
            <w:tcW w:w="2053" w:type="dxa"/>
          </w:tcPr>
          <w:p w:rsidR="00411686" w:rsidRPr="00411686" w:rsidRDefault="00411686" w:rsidP="00A44AD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124" w:type="dxa"/>
          </w:tcPr>
          <w:p w:rsidR="00411686" w:rsidRPr="00411686" w:rsidRDefault="00411686" w:rsidP="00A44AD5">
            <w:pPr>
              <w:spacing w:line="276" w:lineRule="auto"/>
              <w:jc w:val="center"/>
              <w:rPr>
                <w:szCs w:val="24"/>
              </w:rPr>
            </w:pPr>
            <w:r w:rsidRPr="00411686">
              <w:rPr>
                <w:szCs w:val="24"/>
              </w:rPr>
              <w:t>33%</w:t>
            </w:r>
          </w:p>
        </w:tc>
      </w:tr>
      <w:tr w:rsidR="00411686" w:rsidRPr="00411686" w:rsidTr="00411686">
        <w:tc>
          <w:tcPr>
            <w:tcW w:w="2797" w:type="dxa"/>
          </w:tcPr>
          <w:p w:rsidR="00411686" w:rsidRPr="00411686" w:rsidRDefault="00411686" w:rsidP="00A44AD5">
            <w:pPr>
              <w:spacing w:line="276" w:lineRule="auto"/>
              <w:jc w:val="both"/>
              <w:rPr>
                <w:szCs w:val="24"/>
              </w:rPr>
            </w:pPr>
            <w:r w:rsidRPr="00411686">
              <w:rPr>
                <w:szCs w:val="24"/>
              </w:rPr>
              <w:t>III. stupeň závislosti</w:t>
            </w:r>
          </w:p>
        </w:tc>
        <w:tc>
          <w:tcPr>
            <w:tcW w:w="2312" w:type="dxa"/>
          </w:tcPr>
          <w:p w:rsidR="00411686" w:rsidRPr="00411686" w:rsidRDefault="00411686" w:rsidP="00A44AD5">
            <w:pPr>
              <w:spacing w:line="276" w:lineRule="auto"/>
              <w:jc w:val="center"/>
              <w:rPr>
                <w:szCs w:val="24"/>
              </w:rPr>
            </w:pPr>
            <w:r w:rsidRPr="00411686">
              <w:rPr>
                <w:szCs w:val="24"/>
              </w:rPr>
              <w:t>24 uživatelů</w:t>
            </w:r>
          </w:p>
        </w:tc>
        <w:tc>
          <w:tcPr>
            <w:tcW w:w="2053" w:type="dxa"/>
          </w:tcPr>
          <w:p w:rsidR="00411686" w:rsidRPr="00411686" w:rsidRDefault="00411686" w:rsidP="00A44AD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124" w:type="dxa"/>
          </w:tcPr>
          <w:p w:rsidR="00411686" w:rsidRPr="00411686" w:rsidRDefault="00411686" w:rsidP="00A44AD5">
            <w:pPr>
              <w:spacing w:line="276" w:lineRule="auto"/>
              <w:jc w:val="center"/>
              <w:rPr>
                <w:szCs w:val="24"/>
              </w:rPr>
            </w:pPr>
            <w:r w:rsidRPr="00411686">
              <w:rPr>
                <w:szCs w:val="24"/>
              </w:rPr>
              <w:t>41%</w:t>
            </w:r>
          </w:p>
        </w:tc>
      </w:tr>
      <w:tr w:rsidR="00411686" w:rsidRPr="00411686" w:rsidTr="00411686">
        <w:tc>
          <w:tcPr>
            <w:tcW w:w="2797" w:type="dxa"/>
          </w:tcPr>
          <w:p w:rsidR="00411686" w:rsidRPr="00411686" w:rsidRDefault="00411686" w:rsidP="00A44AD5">
            <w:pPr>
              <w:spacing w:line="276" w:lineRule="auto"/>
              <w:jc w:val="both"/>
              <w:rPr>
                <w:szCs w:val="24"/>
              </w:rPr>
            </w:pPr>
            <w:r w:rsidRPr="00411686">
              <w:rPr>
                <w:szCs w:val="24"/>
              </w:rPr>
              <w:t>IV. stupeň závislosti</w:t>
            </w:r>
          </w:p>
        </w:tc>
        <w:tc>
          <w:tcPr>
            <w:tcW w:w="2312" w:type="dxa"/>
          </w:tcPr>
          <w:p w:rsidR="00411686" w:rsidRPr="00411686" w:rsidRDefault="00411686" w:rsidP="00A44AD5">
            <w:pPr>
              <w:spacing w:line="276" w:lineRule="auto"/>
              <w:jc w:val="center"/>
              <w:rPr>
                <w:szCs w:val="24"/>
              </w:rPr>
            </w:pPr>
            <w:r w:rsidRPr="00411686">
              <w:rPr>
                <w:szCs w:val="24"/>
              </w:rPr>
              <w:t>8 uživatelů</w:t>
            </w:r>
          </w:p>
        </w:tc>
        <w:tc>
          <w:tcPr>
            <w:tcW w:w="2053" w:type="dxa"/>
          </w:tcPr>
          <w:p w:rsidR="00411686" w:rsidRPr="00411686" w:rsidRDefault="00411686" w:rsidP="00A44AD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124" w:type="dxa"/>
          </w:tcPr>
          <w:p w:rsidR="00411686" w:rsidRPr="00411686" w:rsidRDefault="00411686" w:rsidP="00A44AD5">
            <w:pPr>
              <w:spacing w:line="276" w:lineRule="auto"/>
              <w:jc w:val="center"/>
              <w:rPr>
                <w:szCs w:val="24"/>
              </w:rPr>
            </w:pPr>
            <w:r w:rsidRPr="00411686">
              <w:rPr>
                <w:szCs w:val="24"/>
              </w:rPr>
              <w:t>14%</w:t>
            </w:r>
          </w:p>
        </w:tc>
      </w:tr>
      <w:tr w:rsidR="00411686" w:rsidRPr="00411686" w:rsidTr="00411686">
        <w:tc>
          <w:tcPr>
            <w:tcW w:w="2797" w:type="dxa"/>
          </w:tcPr>
          <w:p w:rsidR="00411686" w:rsidRPr="00411686" w:rsidRDefault="00411686" w:rsidP="00A44AD5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11686">
              <w:rPr>
                <w:szCs w:val="24"/>
              </w:rPr>
              <w:t>PnP</w:t>
            </w:r>
            <w:proofErr w:type="spellEnd"/>
            <w:r w:rsidRPr="00411686">
              <w:rPr>
                <w:szCs w:val="24"/>
              </w:rPr>
              <w:t xml:space="preserve"> nepřiznán</w:t>
            </w:r>
          </w:p>
        </w:tc>
        <w:tc>
          <w:tcPr>
            <w:tcW w:w="2312" w:type="dxa"/>
          </w:tcPr>
          <w:p w:rsidR="00411686" w:rsidRPr="00411686" w:rsidRDefault="00411686" w:rsidP="00A44AD5">
            <w:pPr>
              <w:spacing w:line="276" w:lineRule="auto"/>
              <w:jc w:val="center"/>
              <w:rPr>
                <w:szCs w:val="24"/>
              </w:rPr>
            </w:pPr>
            <w:r w:rsidRPr="00411686">
              <w:rPr>
                <w:szCs w:val="24"/>
              </w:rPr>
              <w:t>4 uživatelé</w:t>
            </w:r>
          </w:p>
        </w:tc>
        <w:tc>
          <w:tcPr>
            <w:tcW w:w="2053" w:type="dxa"/>
          </w:tcPr>
          <w:p w:rsidR="00411686" w:rsidRPr="00411686" w:rsidRDefault="00411686" w:rsidP="00A44AD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124" w:type="dxa"/>
          </w:tcPr>
          <w:p w:rsidR="00411686" w:rsidRPr="00411686" w:rsidRDefault="00411686" w:rsidP="00A44AD5">
            <w:pPr>
              <w:spacing w:line="276" w:lineRule="auto"/>
              <w:jc w:val="center"/>
              <w:rPr>
                <w:szCs w:val="24"/>
              </w:rPr>
            </w:pPr>
            <w:r w:rsidRPr="00411686">
              <w:rPr>
                <w:szCs w:val="24"/>
              </w:rPr>
              <w:t>7%</w:t>
            </w:r>
          </w:p>
        </w:tc>
      </w:tr>
    </w:tbl>
    <w:p w:rsidR="002C410D" w:rsidRPr="00411686" w:rsidRDefault="002C410D" w:rsidP="002C410D">
      <w:pPr>
        <w:spacing w:line="276" w:lineRule="auto"/>
        <w:jc w:val="both"/>
        <w:rPr>
          <w:szCs w:val="24"/>
        </w:rPr>
      </w:pPr>
    </w:p>
    <w:p w:rsidR="002C410D" w:rsidRPr="00411686" w:rsidRDefault="002C410D" w:rsidP="002C410D">
      <w:pPr>
        <w:spacing w:line="276" w:lineRule="auto"/>
        <w:jc w:val="both"/>
        <w:rPr>
          <w:szCs w:val="24"/>
        </w:rPr>
      </w:pPr>
    </w:p>
    <w:p w:rsidR="002C410D" w:rsidRPr="00504912" w:rsidRDefault="002C410D" w:rsidP="002C410D">
      <w:pPr>
        <w:spacing w:line="276" w:lineRule="auto"/>
        <w:jc w:val="both"/>
        <w:rPr>
          <w:szCs w:val="24"/>
        </w:rPr>
      </w:pPr>
    </w:p>
    <w:p w:rsidR="002C410D" w:rsidRDefault="002C410D" w:rsidP="002C410D"/>
    <w:p w:rsidR="002C410D" w:rsidRDefault="002C410D" w:rsidP="003341EA">
      <w:pPr>
        <w:autoSpaceDE w:val="0"/>
        <w:jc w:val="both"/>
        <w:rPr>
          <w:rFonts w:ascii="Roboto-Medium" w:hAnsi="Roboto-Medium" w:cs="Roboto-Medium"/>
          <w:color w:val="70AD47"/>
          <w:u w:val="single"/>
        </w:rPr>
      </w:pPr>
    </w:p>
    <w:p w:rsidR="00411686" w:rsidRDefault="00411686" w:rsidP="003341EA">
      <w:pPr>
        <w:autoSpaceDE w:val="0"/>
        <w:jc w:val="both"/>
        <w:rPr>
          <w:rFonts w:ascii="Roboto-Medium" w:hAnsi="Roboto-Medium" w:cs="Roboto-Medium"/>
          <w:color w:val="70AD47"/>
          <w:u w:val="single"/>
        </w:rPr>
      </w:pPr>
    </w:p>
    <w:p w:rsidR="00411686" w:rsidRDefault="00411686" w:rsidP="003341EA">
      <w:pPr>
        <w:autoSpaceDE w:val="0"/>
        <w:jc w:val="both"/>
        <w:rPr>
          <w:rFonts w:ascii="Roboto-Medium" w:hAnsi="Roboto-Medium" w:cs="Roboto-Medium"/>
          <w:color w:val="70AD47"/>
          <w:u w:val="single"/>
        </w:rPr>
      </w:pPr>
    </w:p>
    <w:p w:rsidR="00411686" w:rsidRDefault="00411686" w:rsidP="003341EA">
      <w:pPr>
        <w:autoSpaceDE w:val="0"/>
        <w:jc w:val="both"/>
        <w:rPr>
          <w:rFonts w:ascii="Roboto-Medium" w:hAnsi="Roboto-Medium" w:cs="Roboto-Medium"/>
          <w:color w:val="70AD47"/>
          <w:u w:val="single"/>
        </w:rPr>
      </w:pPr>
    </w:p>
    <w:p w:rsidR="00411686" w:rsidRDefault="00411686" w:rsidP="003341EA">
      <w:pPr>
        <w:autoSpaceDE w:val="0"/>
        <w:jc w:val="both"/>
        <w:rPr>
          <w:rFonts w:ascii="Roboto-Medium" w:hAnsi="Roboto-Medium" w:cs="Roboto-Medium"/>
          <w:color w:val="70AD47"/>
          <w:u w:val="single"/>
        </w:rPr>
      </w:pPr>
    </w:p>
    <w:p w:rsidR="00411686" w:rsidRDefault="00411686" w:rsidP="003341EA">
      <w:pPr>
        <w:autoSpaceDE w:val="0"/>
        <w:jc w:val="both"/>
        <w:rPr>
          <w:rFonts w:ascii="Roboto-Medium" w:hAnsi="Roboto-Medium" w:cs="Roboto-Medium"/>
          <w:color w:val="70AD47"/>
          <w:u w:val="single"/>
        </w:rPr>
      </w:pPr>
    </w:p>
    <w:p w:rsidR="00411686" w:rsidRDefault="00411686" w:rsidP="003341EA">
      <w:pPr>
        <w:autoSpaceDE w:val="0"/>
        <w:jc w:val="both"/>
        <w:rPr>
          <w:rFonts w:ascii="Roboto-Medium" w:hAnsi="Roboto-Medium" w:cs="Roboto-Medium"/>
          <w:color w:val="70AD47"/>
          <w:u w:val="single"/>
        </w:rPr>
      </w:pPr>
    </w:p>
    <w:p w:rsidR="002C410D" w:rsidRDefault="002C410D" w:rsidP="003341EA">
      <w:pPr>
        <w:autoSpaceDE w:val="0"/>
        <w:jc w:val="both"/>
        <w:rPr>
          <w:rFonts w:ascii="Roboto-Medium" w:hAnsi="Roboto-Medium" w:cs="Roboto-Medium"/>
          <w:color w:val="70AD47"/>
          <w:u w:val="single"/>
        </w:rPr>
      </w:pPr>
    </w:p>
    <w:p w:rsidR="002C410D" w:rsidRDefault="002C410D" w:rsidP="003341EA">
      <w:pPr>
        <w:autoSpaceDE w:val="0"/>
        <w:jc w:val="both"/>
        <w:rPr>
          <w:rFonts w:ascii="Roboto-Medium" w:hAnsi="Roboto-Medium" w:cs="Roboto-Medium"/>
          <w:color w:val="70AD47"/>
          <w:u w:val="single"/>
        </w:rPr>
      </w:pPr>
    </w:p>
    <w:p w:rsidR="003341EA" w:rsidRPr="00C1207D" w:rsidRDefault="003341EA" w:rsidP="00411686">
      <w:pPr>
        <w:autoSpaceDE w:val="0"/>
        <w:spacing w:line="360" w:lineRule="auto"/>
        <w:jc w:val="center"/>
        <w:rPr>
          <w:b/>
          <w:u w:val="single"/>
        </w:rPr>
      </w:pPr>
      <w:r w:rsidRPr="00C1207D">
        <w:rPr>
          <w:b/>
          <w:u w:val="single"/>
        </w:rPr>
        <w:t>Domov pro osoby se zdravotním postižením</w:t>
      </w:r>
    </w:p>
    <w:p w:rsidR="003341EA" w:rsidRPr="003E686F" w:rsidRDefault="003341EA" w:rsidP="00411686">
      <w:pPr>
        <w:autoSpaceDE w:val="0"/>
        <w:spacing w:line="360" w:lineRule="auto"/>
        <w:jc w:val="both"/>
        <w:rPr>
          <w:rFonts w:ascii="Roboto-Medium" w:hAnsi="Roboto-Medium" w:cs="Roboto-Medium"/>
        </w:rPr>
      </w:pPr>
    </w:p>
    <w:p w:rsidR="003341EA" w:rsidRPr="003E686F" w:rsidRDefault="003341EA" w:rsidP="003E686F">
      <w:pPr>
        <w:pStyle w:val="Bezmezer1"/>
        <w:ind w:firstLine="708"/>
        <w:jc w:val="both"/>
      </w:pPr>
      <w:r w:rsidRPr="003E686F">
        <w:rPr>
          <w:rFonts w:ascii="Times New Roman" w:hAnsi="Times New Roman"/>
          <w:sz w:val="24"/>
          <w:szCs w:val="24"/>
        </w:rPr>
        <w:t>Domov pro osoby se zdravotním postižením (původně Centrum Naděje) byl založen v roce 1992. Po několika změnách se vykrystalizovala jeho současná administrativní i faktická podoba. Stalo se tak 1.1.</w:t>
      </w:r>
      <w:r w:rsidR="004055D9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 xml:space="preserve">2007, kdy vznikla organizace Denní a pobytové sociální služby </w:t>
      </w:r>
      <w:proofErr w:type="gramStart"/>
      <w:r w:rsidRPr="003E686F">
        <w:rPr>
          <w:rFonts w:ascii="Times New Roman" w:hAnsi="Times New Roman"/>
          <w:sz w:val="24"/>
          <w:szCs w:val="24"/>
        </w:rPr>
        <w:t>p.o.</w:t>
      </w:r>
      <w:proofErr w:type="gramEnd"/>
      <w:r w:rsidRPr="003E686F">
        <w:rPr>
          <w:rFonts w:ascii="Times New Roman" w:hAnsi="Times New Roman"/>
          <w:sz w:val="24"/>
          <w:szCs w:val="24"/>
        </w:rPr>
        <w:br/>
        <w:t>a Domov pro osoby se zdravotním postižením</w:t>
      </w:r>
      <w:r w:rsidR="00863741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>se stal její součástí. Zřizovatelem uvedené organizace je Liberecký kraj a druhou poskytovanou službou je Denní stacionář pro osoby s mentálním a</w:t>
      </w:r>
      <w:r w:rsidR="00863741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>kombinovaným postižením.</w:t>
      </w:r>
    </w:p>
    <w:p w:rsidR="003341EA" w:rsidRPr="003E686F" w:rsidRDefault="003341EA" w:rsidP="003E686F">
      <w:pPr>
        <w:pStyle w:val="Bezmezer1"/>
        <w:jc w:val="both"/>
      </w:pPr>
      <w:r w:rsidRPr="003E686F">
        <w:rPr>
          <w:rFonts w:ascii="Times New Roman" w:hAnsi="Times New Roman"/>
          <w:sz w:val="24"/>
          <w:szCs w:val="24"/>
        </w:rPr>
        <w:t>Posláním Domova pro osoby se zdravotním postižením je poskytovat pobytové služby osobám, které mají sníženou soběstačnost z důvodu zdravotního</w:t>
      </w:r>
      <w:r w:rsidR="00863741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 xml:space="preserve">(tělesného) postižení, jejichž situace vyžaduje pravidelnou pomoc jiné fyzické osoby a kteří nevyžadují celodenní zdravotní péči. </w:t>
      </w:r>
    </w:p>
    <w:p w:rsidR="003341EA" w:rsidRPr="003E686F" w:rsidRDefault="003341EA" w:rsidP="003E686F">
      <w:pPr>
        <w:pStyle w:val="Bezmezer1"/>
        <w:ind w:firstLine="708"/>
        <w:jc w:val="both"/>
      </w:pPr>
      <w:r w:rsidRPr="003E686F">
        <w:rPr>
          <w:rFonts w:ascii="Times New Roman" w:hAnsi="Times New Roman"/>
          <w:sz w:val="24"/>
          <w:szCs w:val="24"/>
        </w:rPr>
        <w:t>Cílovou skupinou jsou osoby s</w:t>
      </w:r>
      <w:r w:rsidR="00863741" w:rsidRPr="003E686F">
        <w:rPr>
          <w:rFonts w:ascii="Times New Roman" w:hAnsi="Times New Roman"/>
          <w:sz w:val="24"/>
          <w:szCs w:val="24"/>
        </w:rPr>
        <w:t>e zvlášť těžkým</w:t>
      </w:r>
      <w:r w:rsidRPr="003E686F">
        <w:rPr>
          <w:rFonts w:ascii="Times New Roman" w:hAnsi="Times New Roman"/>
          <w:sz w:val="24"/>
          <w:szCs w:val="24"/>
        </w:rPr>
        <w:t xml:space="preserve"> tělesným postižením ve věku od 19 do 80 let, kteří mají sníženou soběstačnost z důvodu zdravotního (tělesného) postižení a</w:t>
      </w:r>
      <w:r w:rsidR="00863741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>jejichž situace vyžaduje pravidelnou pomoc jiné fyzické osob</w:t>
      </w:r>
      <w:r w:rsidR="00863741" w:rsidRPr="003E686F">
        <w:rPr>
          <w:rFonts w:ascii="Times New Roman" w:hAnsi="Times New Roman"/>
          <w:sz w:val="24"/>
          <w:szCs w:val="24"/>
        </w:rPr>
        <w:t>y. Jedná se především o občany L</w:t>
      </w:r>
      <w:r w:rsidRPr="003E686F">
        <w:rPr>
          <w:rFonts w:ascii="Times New Roman" w:hAnsi="Times New Roman"/>
          <w:sz w:val="24"/>
          <w:szCs w:val="24"/>
        </w:rPr>
        <w:t>ibereckého kraje, kteří nemohou z různých důvodů žít v</w:t>
      </w:r>
      <w:r w:rsidR="00863741" w:rsidRPr="003E686F">
        <w:rPr>
          <w:rFonts w:ascii="Times New Roman" w:hAnsi="Times New Roman"/>
          <w:sz w:val="24"/>
          <w:szCs w:val="24"/>
        </w:rPr>
        <w:t> </w:t>
      </w:r>
      <w:r w:rsidRPr="003E686F">
        <w:rPr>
          <w:rFonts w:ascii="Times New Roman" w:hAnsi="Times New Roman"/>
          <w:sz w:val="24"/>
          <w:szCs w:val="24"/>
        </w:rPr>
        <w:t>domácím</w:t>
      </w:r>
      <w:r w:rsidR="00863741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>prostředí a využívat pomoc a podpory rodiny, popřípadě ambulantních nebo terénních služeb.</w:t>
      </w:r>
    </w:p>
    <w:p w:rsidR="00CC4B3F" w:rsidRPr="003E686F" w:rsidRDefault="003341EA" w:rsidP="003E686F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3E686F">
        <w:rPr>
          <w:rFonts w:ascii="Times New Roman" w:hAnsi="Times New Roman"/>
          <w:sz w:val="24"/>
          <w:szCs w:val="24"/>
        </w:rPr>
        <w:t>Dlouhodobým cílem služby je alespoň částeč</w:t>
      </w:r>
      <w:r w:rsidR="00CC4B3F" w:rsidRPr="003E686F">
        <w:rPr>
          <w:rFonts w:ascii="Times New Roman" w:hAnsi="Times New Roman"/>
          <w:sz w:val="24"/>
          <w:szCs w:val="24"/>
        </w:rPr>
        <w:t>ně zajistit náhradní domov uživatelům, s</w:t>
      </w:r>
      <w:r w:rsidRPr="003E686F">
        <w:rPr>
          <w:rFonts w:ascii="Times New Roman" w:hAnsi="Times New Roman"/>
          <w:sz w:val="24"/>
          <w:szCs w:val="24"/>
        </w:rPr>
        <w:t>polečně udržet míru jejich samostatnosti, podporovat možnosti jak se</w:t>
      </w:r>
      <w:r w:rsidR="00CC4B3F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 xml:space="preserve">zapojovat do běžného společenského života a jak si udržet stávající zdravotní stav s ohledem na individualitu osobnosti. </w:t>
      </w:r>
    </w:p>
    <w:p w:rsidR="003341EA" w:rsidRPr="003E686F" w:rsidRDefault="003341EA" w:rsidP="003E686F">
      <w:pPr>
        <w:pStyle w:val="Bezmezer1"/>
        <w:ind w:firstLine="708"/>
        <w:jc w:val="both"/>
      </w:pPr>
      <w:r w:rsidRPr="003E686F">
        <w:rPr>
          <w:rFonts w:ascii="Times New Roman" w:hAnsi="Times New Roman"/>
          <w:sz w:val="24"/>
          <w:szCs w:val="24"/>
        </w:rPr>
        <w:t>Krátkodobé cíle, tedy udržení</w:t>
      </w:r>
      <w:r w:rsidR="00CC4B3F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>samostatnosti s ohled</w:t>
      </w:r>
      <w:r w:rsidR="00CC4B3F" w:rsidRPr="003E686F">
        <w:rPr>
          <w:rFonts w:ascii="Times New Roman" w:hAnsi="Times New Roman"/>
          <w:sz w:val="24"/>
          <w:szCs w:val="24"/>
        </w:rPr>
        <w:t xml:space="preserve">em na zdravotní stav uživatelů, </w:t>
      </w:r>
      <w:r w:rsidRPr="003E686F">
        <w:rPr>
          <w:rFonts w:ascii="Times New Roman" w:hAnsi="Times New Roman"/>
          <w:sz w:val="24"/>
          <w:szCs w:val="24"/>
        </w:rPr>
        <w:t>pomocí rehabilitace udržovat stávající stav tělesné a duševní kondice a snaha o udržení zaměstnání,</w:t>
      </w:r>
      <w:r w:rsidR="00CC4B3F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>individuálního zájmu, respektive zapojení se do běžného společenského života, jsou naplňovány. Uživatelé jsou motivováni k samostatnosti v oblasti stravování,</w:t>
      </w:r>
      <w:r w:rsidR="00CC4B3F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>naplňování volného času, výběru zájmů a koníčků apod. Jsou podporováni v kontaktu s rodinou a přáteli. V rámci svých možností mohou pracovat nebo</w:t>
      </w:r>
      <w:r w:rsidR="00CC4B3F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 xml:space="preserve">uspokojovat své individuální zájmy. Pro možnost naplnění cílů jsou jim k dispozici zaměstnanci DOZP. </w:t>
      </w:r>
      <w:r w:rsidRPr="003E686F">
        <w:rPr>
          <w:rFonts w:ascii="Times New Roman" w:hAnsi="Times New Roman"/>
          <w:sz w:val="24"/>
          <w:szCs w:val="24"/>
        </w:rPr>
        <w:br/>
        <w:t>Uživatelé mají možnost využívat</w:t>
      </w:r>
      <w:r w:rsidR="00CC4B3F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>nízkopodlažní služební vozidlo k</w:t>
      </w:r>
      <w:r w:rsidR="00CC4B3F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>možnosti návštěvy lékařů, kulturních a společenských akcí, rodin i přátel. Dostává se jim podpory a doprovodu při návštěvě úřadů, lékařů, při nákupech, apod.</w:t>
      </w:r>
    </w:p>
    <w:p w:rsidR="003341EA" w:rsidRPr="003E686F" w:rsidRDefault="003341EA" w:rsidP="003E686F">
      <w:pPr>
        <w:pStyle w:val="Bezmezer1"/>
        <w:jc w:val="both"/>
      </w:pPr>
      <w:r w:rsidRPr="003E686F">
        <w:rPr>
          <w:rFonts w:ascii="Times New Roman" w:hAnsi="Times New Roman"/>
          <w:sz w:val="24"/>
          <w:szCs w:val="24"/>
        </w:rPr>
        <w:t>Uživatelům pomáháme při zajišťování rehabilitací, výběru a vyřízení kompenzačních pomůcek, léčebných a lázeňských pobytů.</w:t>
      </w:r>
    </w:p>
    <w:p w:rsidR="003341EA" w:rsidRPr="003E686F" w:rsidRDefault="003341EA" w:rsidP="003E686F">
      <w:pPr>
        <w:pStyle w:val="Bezmezer1"/>
        <w:jc w:val="both"/>
      </w:pPr>
      <w:r w:rsidRPr="003E686F">
        <w:rPr>
          <w:rFonts w:ascii="Times New Roman" w:hAnsi="Times New Roman"/>
          <w:sz w:val="24"/>
          <w:szCs w:val="24"/>
        </w:rPr>
        <w:t>Naši uživatelé využívají léčebné i zdravotní pobyty</w:t>
      </w:r>
      <w:r w:rsidR="00CC4B3F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 xml:space="preserve">(Domov Svatého Josefa </w:t>
      </w:r>
      <w:proofErr w:type="spellStart"/>
      <w:r w:rsidRPr="003E686F">
        <w:rPr>
          <w:rFonts w:ascii="Times New Roman" w:hAnsi="Times New Roman"/>
          <w:sz w:val="24"/>
          <w:szCs w:val="24"/>
        </w:rPr>
        <w:t>Žireč</w:t>
      </w:r>
      <w:proofErr w:type="spellEnd"/>
      <w:r w:rsidRPr="003E686F">
        <w:rPr>
          <w:rFonts w:ascii="Times New Roman" w:hAnsi="Times New Roman"/>
          <w:sz w:val="24"/>
          <w:szCs w:val="24"/>
        </w:rPr>
        <w:t xml:space="preserve">, Rehabilitační ústav Kladruby a </w:t>
      </w:r>
      <w:proofErr w:type="spellStart"/>
      <w:r w:rsidRPr="003E686F">
        <w:rPr>
          <w:rFonts w:ascii="Times New Roman" w:hAnsi="Times New Roman"/>
          <w:sz w:val="24"/>
          <w:szCs w:val="24"/>
        </w:rPr>
        <w:t>Luž</w:t>
      </w:r>
      <w:proofErr w:type="spellEnd"/>
      <w:r w:rsidRPr="003E686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E686F">
        <w:rPr>
          <w:rFonts w:ascii="Times New Roman" w:hAnsi="Times New Roman"/>
          <w:sz w:val="24"/>
          <w:szCs w:val="24"/>
        </w:rPr>
        <w:t>Košumberk</w:t>
      </w:r>
      <w:proofErr w:type="spellEnd"/>
      <w:r w:rsidRPr="003E686F">
        <w:rPr>
          <w:rFonts w:ascii="Times New Roman" w:hAnsi="Times New Roman"/>
          <w:sz w:val="24"/>
          <w:szCs w:val="24"/>
        </w:rPr>
        <w:t xml:space="preserve">), rehabilitace (KMK Česká Lípa, KDP Naděje Česká Lípa, KDP Sluníčko) apod. Přímo ve službě mají uživatelé k dispozici dva </w:t>
      </w:r>
      <w:proofErr w:type="spellStart"/>
      <w:r w:rsidRPr="003E686F">
        <w:rPr>
          <w:rFonts w:ascii="Times New Roman" w:hAnsi="Times New Roman"/>
          <w:sz w:val="24"/>
          <w:szCs w:val="24"/>
        </w:rPr>
        <w:t>motomedy</w:t>
      </w:r>
      <w:proofErr w:type="spellEnd"/>
      <w:r w:rsidRPr="003E686F">
        <w:rPr>
          <w:rFonts w:ascii="Times New Roman" w:hAnsi="Times New Roman"/>
          <w:sz w:val="24"/>
          <w:szCs w:val="24"/>
        </w:rPr>
        <w:t xml:space="preserve">, které mohou k rehabilitaci využít. Do služby pravidelně dochází obvodní lékař. </w:t>
      </w:r>
    </w:p>
    <w:p w:rsidR="003341EA" w:rsidRPr="003E686F" w:rsidRDefault="003341EA" w:rsidP="003E686F">
      <w:pPr>
        <w:pStyle w:val="Bezmezer1"/>
        <w:ind w:firstLine="708"/>
        <w:jc w:val="both"/>
      </w:pPr>
      <w:r w:rsidRPr="003E686F">
        <w:rPr>
          <w:rFonts w:ascii="Times New Roman" w:hAnsi="Times New Roman"/>
          <w:sz w:val="24"/>
          <w:szCs w:val="24"/>
        </w:rPr>
        <w:t>Typickým uživatelem služby je dospělá osoba, která se v důsledku úrazu či vrozeného degenerativního onemocnění pohybuje na invalidním vozíku. Jedná se o</w:t>
      </w:r>
      <w:r w:rsidR="00CC4B3F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>osoby s kvadruplegií, které si s ohledem na své postižení nejsou schopny zajišťovat běžné denní potřeby a vyžadují pravidelnou pomoc a podporu druhé osoby. Jsou však schopny se samostatně</w:t>
      </w:r>
      <w:r w:rsidR="00CC4B3F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>rozhodovat a plánovat si denní režim, hospodařit se svým příjmem apod.</w:t>
      </w:r>
    </w:p>
    <w:p w:rsidR="003341EA" w:rsidRPr="003E686F" w:rsidRDefault="003341EA" w:rsidP="003E686F">
      <w:pPr>
        <w:pStyle w:val="Bezmezer1"/>
        <w:jc w:val="both"/>
      </w:pPr>
      <w:r w:rsidRPr="003E686F">
        <w:rPr>
          <w:rFonts w:ascii="Times New Roman" w:hAnsi="Times New Roman"/>
          <w:sz w:val="24"/>
          <w:szCs w:val="24"/>
        </w:rPr>
        <w:t>Poskytovaná sociální služba umožňuje svým uživatelům, občanům Libereckého kraje, žít relativně plnohodnotný život. Jedná se o občany, kteří z různých důvodů</w:t>
      </w:r>
      <w:r w:rsidR="00CC4B3F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 xml:space="preserve">nemohli zůstat </w:t>
      </w:r>
      <w:r w:rsidRPr="003E686F">
        <w:rPr>
          <w:rFonts w:ascii="Times New Roman" w:hAnsi="Times New Roman"/>
          <w:sz w:val="24"/>
          <w:szCs w:val="24"/>
        </w:rPr>
        <w:br/>
        <w:t>v domácím prostředí s podporou rodiny nebo terénní sociální služby. Kontakt s rodinou a přáteli je naší službou velice podporován. Uživatele</w:t>
      </w:r>
      <w:r w:rsidR="00CC4B3F" w:rsidRPr="003E686F">
        <w:rPr>
          <w:rFonts w:ascii="Times New Roman" w:hAnsi="Times New Roman"/>
          <w:sz w:val="24"/>
          <w:szCs w:val="24"/>
        </w:rPr>
        <w:t xml:space="preserve"> </w:t>
      </w:r>
      <w:r w:rsidRPr="003E686F">
        <w:rPr>
          <w:rFonts w:ascii="Times New Roman" w:hAnsi="Times New Roman"/>
          <w:sz w:val="24"/>
          <w:szCs w:val="24"/>
        </w:rPr>
        <w:t>navštěvují ja</w:t>
      </w:r>
      <w:r w:rsidR="00CC4B3F" w:rsidRPr="003E686F">
        <w:rPr>
          <w:rFonts w:ascii="Times New Roman" w:hAnsi="Times New Roman"/>
          <w:sz w:val="24"/>
          <w:szCs w:val="24"/>
        </w:rPr>
        <w:t>k přímo ve službě, tak dochází k návštěvám v domácím prostředí rodiny.</w:t>
      </w:r>
    </w:p>
    <w:p w:rsidR="003341EA" w:rsidRPr="003E686F" w:rsidRDefault="003341EA" w:rsidP="003E686F">
      <w:pPr>
        <w:pStyle w:val="Bezmezer1"/>
        <w:ind w:firstLine="708"/>
        <w:jc w:val="both"/>
      </w:pPr>
      <w:r w:rsidRPr="003E686F">
        <w:rPr>
          <w:rFonts w:ascii="Times New Roman" w:hAnsi="Times New Roman"/>
          <w:sz w:val="24"/>
          <w:szCs w:val="24"/>
        </w:rPr>
        <w:lastRenderedPageBreak/>
        <w:t>V rámci zkvalitňování poskytované služby je naše organizace součástí komunitního plánování Města Česká Lípa. V současné době je úsilí organizace zaměřeno na rozšíření kapacity poskytované služby, a to z důvodu zjištěné potřebnosti služby.</w:t>
      </w:r>
      <w:r w:rsidR="00CC4B3F" w:rsidRPr="003E686F">
        <w:rPr>
          <w:rFonts w:ascii="Times New Roman" w:hAnsi="Times New Roman"/>
          <w:sz w:val="24"/>
          <w:szCs w:val="24"/>
        </w:rPr>
        <w:t xml:space="preserve">  </w:t>
      </w:r>
      <w:r w:rsidRPr="003E686F">
        <w:rPr>
          <w:rFonts w:ascii="Times New Roman" w:hAnsi="Times New Roman"/>
          <w:sz w:val="24"/>
          <w:szCs w:val="24"/>
        </w:rPr>
        <w:t xml:space="preserve">V roce 2017 jsme evidovali 23 žádostí o službu. </w:t>
      </w:r>
    </w:p>
    <w:p w:rsidR="00CC4B3F" w:rsidRPr="003E686F" w:rsidRDefault="00CC4B3F" w:rsidP="003E686F">
      <w:pPr>
        <w:pStyle w:val="Bezmezer1"/>
        <w:ind w:firstLine="708"/>
        <w:jc w:val="both"/>
        <w:rPr>
          <w:rFonts w:ascii="Times New Roman" w:hAnsi="Times New Roman"/>
          <w:sz w:val="24"/>
          <w:szCs w:val="24"/>
        </w:rPr>
      </w:pPr>
      <w:r w:rsidRPr="003E686F">
        <w:rPr>
          <w:rFonts w:ascii="Times New Roman" w:hAnsi="Times New Roman"/>
          <w:sz w:val="24"/>
          <w:szCs w:val="24"/>
        </w:rPr>
        <w:t>V roce 2018 jsme ke zpříjemnění bydlení v DOZP napomohli zakoupením vybavení pokojů dle dostupných představ a požadavků uživatelů, modernizací vybavení společné kuchyňky a terasy, v podobě grilu a pergoly, a dalších maličkostí, které dopomáhají aktivizaci uživatelů.</w:t>
      </w:r>
    </w:p>
    <w:p w:rsidR="009F357A" w:rsidRPr="003E686F" w:rsidRDefault="009F357A" w:rsidP="003E686F">
      <w:pPr>
        <w:pStyle w:val="Bezmezer1"/>
        <w:ind w:firstLine="708"/>
        <w:jc w:val="both"/>
        <w:rPr>
          <w:rFonts w:ascii="Times New Roman" w:hAnsi="Times New Roman"/>
          <w:sz w:val="24"/>
          <w:szCs w:val="24"/>
        </w:rPr>
      </w:pPr>
      <w:r w:rsidRPr="003E686F">
        <w:rPr>
          <w:rFonts w:ascii="Times New Roman" w:hAnsi="Times New Roman"/>
          <w:sz w:val="24"/>
          <w:szCs w:val="24"/>
        </w:rPr>
        <w:t xml:space="preserve">Koncem roku 2018 došlo v DOZP ke zvýšené výměně zaměstnanců, neboť je nutno zaměstnávat profesionálně zdatný personál, neboť jde o velmi fyzicky a psychicky náročnou práci. Pracovníci mají možnost individuální supervize a každé dva měsíce probíhá skupinová supervize. Dále dochází k měsíčním metodikám a k provozním poradám. </w:t>
      </w:r>
    </w:p>
    <w:p w:rsidR="009F357A" w:rsidRPr="003E686F" w:rsidRDefault="009F357A" w:rsidP="003E686F">
      <w:pPr>
        <w:pStyle w:val="Bezmezer1"/>
        <w:jc w:val="both"/>
      </w:pPr>
      <w:r w:rsidRPr="003E686F">
        <w:rPr>
          <w:rFonts w:ascii="Times New Roman" w:hAnsi="Times New Roman"/>
          <w:sz w:val="24"/>
          <w:szCs w:val="24"/>
        </w:rPr>
        <w:t>Pracovníci se pravidelně vzděláv</w:t>
      </w:r>
      <w:r w:rsidR="00986007" w:rsidRPr="003E686F">
        <w:rPr>
          <w:rFonts w:ascii="Times New Roman" w:hAnsi="Times New Roman"/>
          <w:sz w:val="24"/>
          <w:szCs w:val="24"/>
        </w:rPr>
        <w:t xml:space="preserve">ají prostřednictvím tematických kurzů, seminářů, ale i stáží v podobných zařízeních – z těchto vzdělávacích akcí je sledována sebereflexe a je dbáno na předávání informací a zkušeností. </w:t>
      </w:r>
    </w:p>
    <w:p w:rsidR="009F357A" w:rsidRPr="003E686F" w:rsidRDefault="009F357A" w:rsidP="003E686F">
      <w:pPr>
        <w:pStyle w:val="Bezmezer1"/>
        <w:jc w:val="both"/>
      </w:pPr>
      <w:r w:rsidRPr="003E686F">
        <w:rPr>
          <w:rFonts w:ascii="Times New Roman" w:hAnsi="Times New Roman"/>
          <w:sz w:val="24"/>
          <w:szCs w:val="24"/>
        </w:rPr>
        <w:t>Personál, i ve svém volném čase, pomáhá s plánováním a uskutečněním společenských akcí např. oslavy narozenin</w:t>
      </w:r>
      <w:r w:rsidR="00986007" w:rsidRPr="003E686F">
        <w:rPr>
          <w:rFonts w:ascii="Times New Roman" w:hAnsi="Times New Roman"/>
          <w:sz w:val="24"/>
          <w:szCs w:val="24"/>
        </w:rPr>
        <w:t>, výletů</w:t>
      </w:r>
      <w:r w:rsidRPr="003E686F">
        <w:rPr>
          <w:rFonts w:ascii="Times New Roman" w:hAnsi="Times New Roman"/>
          <w:sz w:val="24"/>
          <w:szCs w:val="24"/>
        </w:rPr>
        <w:t xml:space="preserve"> apod.</w:t>
      </w:r>
    </w:p>
    <w:p w:rsidR="009F357A" w:rsidRPr="003E686F" w:rsidRDefault="009F357A" w:rsidP="003E686F">
      <w:pPr>
        <w:pStyle w:val="Bezmezer1"/>
        <w:ind w:firstLine="708"/>
        <w:jc w:val="both"/>
      </w:pPr>
    </w:p>
    <w:p w:rsidR="003341EA" w:rsidRPr="003E686F" w:rsidRDefault="003341EA" w:rsidP="00411686">
      <w:pPr>
        <w:spacing w:line="360" w:lineRule="auto"/>
        <w:jc w:val="both"/>
        <w:rPr>
          <w:szCs w:val="24"/>
        </w:rPr>
      </w:pPr>
      <w:r w:rsidRPr="003E686F">
        <w:rPr>
          <w:b/>
          <w:szCs w:val="24"/>
        </w:rPr>
        <w:t xml:space="preserve">Sociální oblast a statistické údaje: </w:t>
      </w:r>
    </w:p>
    <w:p w:rsidR="003341EA" w:rsidRPr="003E686F" w:rsidRDefault="003341EA" w:rsidP="003E686F">
      <w:pPr>
        <w:jc w:val="both"/>
      </w:pPr>
      <w:r w:rsidRPr="003E686F">
        <w:rPr>
          <w:szCs w:val="24"/>
        </w:rPr>
        <w:t xml:space="preserve">Kapacita služby je 5 osob. Již dlouhodobě je kapacita zcela naplněna. V roce 2018 nedošlo k žádné změně ve složení uživatelů sociální služby. </w:t>
      </w:r>
    </w:p>
    <w:p w:rsidR="003341EA" w:rsidRPr="003E686F" w:rsidRDefault="003341EA" w:rsidP="003E686F">
      <w:pPr>
        <w:jc w:val="both"/>
      </w:pPr>
      <w:r w:rsidRPr="003E686F">
        <w:rPr>
          <w:szCs w:val="24"/>
        </w:rPr>
        <w:t>Průměrný věk uživatelů v roce 2018 byl 56 let.</w:t>
      </w:r>
    </w:p>
    <w:p w:rsidR="003341EA" w:rsidRPr="003E686F" w:rsidRDefault="003341EA" w:rsidP="003E686F">
      <w:pPr>
        <w:jc w:val="both"/>
      </w:pPr>
      <w:r w:rsidRPr="003E686F">
        <w:rPr>
          <w:szCs w:val="24"/>
        </w:rPr>
        <w:t xml:space="preserve">Čtyři uživatelé DOZP (z pěti) jsou zařazeni v nejvyšším stupni příspěvku na péči, což je </w:t>
      </w:r>
      <w:r w:rsidRPr="003E686F">
        <w:rPr>
          <w:szCs w:val="24"/>
        </w:rPr>
        <w:br/>
        <w:t xml:space="preserve">IV. stupeň PNP a jedna uživatelka je zařazena ve III. stupni PNP. </w:t>
      </w:r>
    </w:p>
    <w:p w:rsidR="003341EA" w:rsidRPr="003E686F" w:rsidRDefault="003341EA" w:rsidP="003E686F">
      <w:pPr>
        <w:jc w:val="both"/>
      </w:pPr>
      <w:r w:rsidRPr="003E686F">
        <w:rPr>
          <w:szCs w:val="24"/>
        </w:rPr>
        <w:t xml:space="preserve">Službu využilo a stále využívá 1 žena a 4 muži. </w:t>
      </w:r>
    </w:p>
    <w:p w:rsidR="003341EA" w:rsidRPr="003E686F" w:rsidRDefault="003341EA" w:rsidP="003E686F">
      <w:pPr>
        <w:spacing w:after="120"/>
        <w:jc w:val="both"/>
      </w:pPr>
      <w:r w:rsidRPr="003E686F">
        <w:rPr>
          <w:szCs w:val="24"/>
        </w:rPr>
        <w:t>Naše organizace se řídí Standardy kvality.</w:t>
      </w:r>
      <w:r w:rsidR="00AC7AA3" w:rsidRPr="003E686F">
        <w:rPr>
          <w:szCs w:val="24"/>
        </w:rPr>
        <w:t xml:space="preserve"> </w:t>
      </w:r>
      <w:r w:rsidRPr="003E686F">
        <w:rPr>
          <w:szCs w:val="24"/>
        </w:rPr>
        <w:t xml:space="preserve">Klíčovými pracovníky jsou pracovníci v sociálních službách = pracovníci v přímé péči. Cíle uživatelů jsou naplňovány v rámci individuálního plánování prostřednictvím naplňování požadovaných úkonů. Při naplňování cílů uživatelů spolupracujeme např. s lékaři, rehabilitací, domácí péčí a dalšími odborníky. </w:t>
      </w:r>
    </w:p>
    <w:p w:rsidR="003341EA" w:rsidRPr="003E686F" w:rsidRDefault="003341EA" w:rsidP="003E686F">
      <w:pPr>
        <w:spacing w:after="120"/>
        <w:jc w:val="both"/>
      </w:pPr>
      <w:r w:rsidRPr="003E686F">
        <w:rPr>
          <w:szCs w:val="24"/>
        </w:rPr>
        <w:t xml:space="preserve">Uživatelům je pravidelně poskytováno sociální poradenství. Nejčastějšími projednávanými oblastmi jsou: </w:t>
      </w:r>
    </w:p>
    <w:p w:rsidR="003341EA" w:rsidRPr="003E686F" w:rsidRDefault="003341EA" w:rsidP="005C7EF8">
      <w:pPr>
        <w:numPr>
          <w:ilvl w:val="0"/>
          <w:numId w:val="4"/>
        </w:numPr>
        <w:suppressAutoHyphens/>
        <w:spacing w:after="120"/>
        <w:jc w:val="both"/>
      </w:pPr>
      <w:r w:rsidRPr="003E686F">
        <w:rPr>
          <w:szCs w:val="24"/>
        </w:rPr>
        <w:t>dávky sociální péče</w:t>
      </w:r>
    </w:p>
    <w:p w:rsidR="003341EA" w:rsidRPr="003E686F" w:rsidRDefault="003341EA" w:rsidP="005C7EF8">
      <w:pPr>
        <w:numPr>
          <w:ilvl w:val="0"/>
          <w:numId w:val="4"/>
        </w:numPr>
        <w:suppressAutoHyphens/>
        <w:spacing w:after="120"/>
        <w:jc w:val="both"/>
      </w:pPr>
      <w:r w:rsidRPr="003E686F">
        <w:rPr>
          <w:szCs w:val="24"/>
        </w:rPr>
        <w:t>vyřizování kompenzačních pomůcek</w:t>
      </w:r>
    </w:p>
    <w:p w:rsidR="003341EA" w:rsidRPr="003E686F" w:rsidRDefault="003341EA" w:rsidP="005C7EF8">
      <w:pPr>
        <w:numPr>
          <w:ilvl w:val="0"/>
          <w:numId w:val="4"/>
        </w:numPr>
        <w:suppressAutoHyphens/>
        <w:spacing w:after="120"/>
        <w:jc w:val="both"/>
      </w:pPr>
      <w:r w:rsidRPr="003E686F">
        <w:rPr>
          <w:szCs w:val="24"/>
        </w:rPr>
        <w:t>podpora při jednání s úřady</w:t>
      </w:r>
    </w:p>
    <w:p w:rsidR="003341EA" w:rsidRPr="003E686F" w:rsidRDefault="003341EA" w:rsidP="005C7EF8">
      <w:pPr>
        <w:numPr>
          <w:ilvl w:val="0"/>
          <w:numId w:val="4"/>
        </w:numPr>
        <w:suppressAutoHyphens/>
        <w:spacing w:after="120"/>
        <w:jc w:val="both"/>
      </w:pPr>
      <w:r w:rsidRPr="003E686F">
        <w:rPr>
          <w:szCs w:val="24"/>
        </w:rPr>
        <w:t>využívání dalších sociálních služeb (ozdravné pobyty, apod.)</w:t>
      </w:r>
    </w:p>
    <w:p w:rsidR="00AC7AA3" w:rsidRPr="003E686F" w:rsidRDefault="00AC7AA3" w:rsidP="005C7EF8">
      <w:pPr>
        <w:pStyle w:val="Zkladntext"/>
        <w:numPr>
          <w:ilvl w:val="0"/>
          <w:numId w:val="5"/>
        </w:numPr>
        <w:spacing w:after="120"/>
        <w:jc w:val="both"/>
        <w:rPr>
          <w:b w:val="0"/>
          <w:szCs w:val="24"/>
        </w:rPr>
      </w:pPr>
      <w:r w:rsidRPr="003E686F">
        <w:rPr>
          <w:b w:val="0"/>
          <w:szCs w:val="24"/>
        </w:rPr>
        <w:t xml:space="preserve">získávání finančních prostředků od nadací a sponzorů pro individuální potřeby konkrétního uživatele </w:t>
      </w:r>
    </w:p>
    <w:p w:rsidR="0054009B" w:rsidRPr="003E686F" w:rsidRDefault="0054009B" w:rsidP="003E686F">
      <w:pPr>
        <w:pStyle w:val="Zkladntext"/>
        <w:pBdr>
          <w:bottom w:val="dotted" w:sz="24" w:space="1" w:color="auto"/>
        </w:pBdr>
        <w:spacing w:after="120"/>
        <w:jc w:val="both"/>
        <w:rPr>
          <w:b w:val="0"/>
          <w:szCs w:val="24"/>
        </w:rPr>
      </w:pPr>
    </w:p>
    <w:p w:rsidR="003E686F" w:rsidRPr="003E686F" w:rsidRDefault="003E686F" w:rsidP="0054009B">
      <w:pPr>
        <w:pStyle w:val="Zkladntext"/>
        <w:spacing w:after="120" w:line="276" w:lineRule="auto"/>
        <w:jc w:val="both"/>
        <w:rPr>
          <w:b w:val="0"/>
          <w:szCs w:val="24"/>
        </w:rPr>
      </w:pPr>
    </w:p>
    <w:p w:rsidR="0054009B" w:rsidRPr="003E686F" w:rsidRDefault="0054009B" w:rsidP="003E686F">
      <w:pPr>
        <w:ind w:firstLine="708"/>
        <w:jc w:val="both"/>
      </w:pPr>
      <w:r w:rsidRPr="003E686F">
        <w:t>V obou službách se k  přemisťování imobilních uživatelů využívá nízkopodlažní vozidlo Ford Transit. V roce 201</w:t>
      </w:r>
      <w:r w:rsidR="00B74F34" w:rsidRPr="003E686F">
        <w:t>8</w:t>
      </w:r>
      <w:r w:rsidRPr="003E686F">
        <w:t xml:space="preserve"> uživatelé využili služební, speciálně upravené vozidlo pro účely dopravy k lékařům, na návštěvu k rodinám či známým, na výstavy, výlety, různé společenské akce, sportovní události, na nákupy, apod. </w:t>
      </w:r>
    </w:p>
    <w:p w:rsidR="0054009B" w:rsidRPr="003E686F" w:rsidRDefault="0054009B" w:rsidP="003E686F">
      <w:pPr>
        <w:ind w:firstLine="708"/>
        <w:jc w:val="both"/>
        <w:rPr>
          <w:sz w:val="20"/>
        </w:rPr>
      </w:pPr>
      <w:r w:rsidRPr="003E686F">
        <w:t>Organizace, již tradičně, prodloužila členství v Asociaci poskytovatelů sociálních</w:t>
      </w:r>
      <w:r w:rsidRPr="003E686F">
        <w:rPr>
          <w:b/>
          <w:bCs/>
        </w:rPr>
        <w:t xml:space="preserve"> </w:t>
      </w:r>
      <w:r w:rsidRPr="003E686F">
        <w:t xml:space="preserve">služeb ČR. Pracovníci maximálně využívají k sebevzdělávání odborný časopis Sociální </w:t>
      </w:r>
      <w:r w:rsidRPr="003E686F">
        <w:lastRenderedPageBreak/>
        <w:t xml:space="preserve">služby. Zároveň se využila nabídka některých pořádaných vzdělávacích seminářů. Opět využila možnost finanční pomoci při pořádání osvětové a propagační akce. </w:t>
      </w:r>
    </w:p>
    <w:p w:rsidR="0054009B" w:rsidRPr="003E686F" w:rsidRDefault="0054009B" w:rsidP="003E686F">
      <w:pPr>
        <w:ind w:firstLine="708"/>
        <w:jc w:val="both"/>
        <w:rPr>
          <w:i/>
        </w:rPr>
      </w:pPr>
      <w:r w:rsidRPr="003E686F">
        <w:t xml:space="preserve">Organizace i nadále poskytuje možnost vykonávání praxe, kterou mohou využít </w:t>
      </w:r>
      <w:r w:rsidR="0089362F" w:rsidRPr="003E686F">
        <w:t xml:space="preserve">např. </w:t>
      </w:r>
      <w:r w:rsidRPr="003E686F">
        <w:t>účastnící rekvalifikačního kurzu „</w:t>
      </w:r>
      <w:r w:rsidRPr="003E686F">
        <w:rPr>
          <w:i/>
        </w:rPr>
        <w:t xml:space="preserve">Pracovníka v sociálních službách“ </w:t>
      </w:r>
      <w:r w:rsidRPr="003E686F">
        <w:t xml:space="preserve">a studenti odborných škol.   </w:t>
      </w:r>
    </w:p>
    <w:p w:rsidR="0054009B" w:rsidRPr="003E686F" w:rsidRDefault="0054009B" w:rsidP="003E686F">
      <w:pPr>
        <w:ind w:firstLine="708"/>
        <w:jc w:val="both"/>
      </w:pPr>
      <w:r w:rsidRPr="003E686F">
        <w:t>Spolupráce s dobr</w:t>
      </w:r>
      <w:r w:rsidR="00B74F34" w:rsidRPr="003E686F">
        <w:t xml:space="preserve">ovolnickým centrem ADRA </w:t>
      </w:r>
      <w:r w:rsidRPr="003E686F">
        <w:t>pokračuje. Za příklad dobré praxe je považována skutečnost, že v každé službě jsou dlouhodobí dobrovolníci.</w:t>
      </w:r>
    </w:p>
    <w:p w:rsidR="0089362F" w:rsidRPr="003E686F" w:rsidRDefault="0089362F" w:rsidP="003E686F">
      <w:pPr>
        <w:ind w:firstLine="708"/>
        <w:jc w:val="both"/>
      </w:pPr>
      <w:r w:rsidRPr="003E686F">
        <w:t xml:space="preserve">Dále se zástupce organizace účastnil XVIII. ročníku ceny Ď 2018, kde byl nominován přítel a kamarád uživatelů DOZP. </w:t>
      </w:r>
    </w:p>
    <w:p w:rsidR="0054009B" w:rsidRPr="003E686F" w:rsidRDefault="0054009B" w:rsidP="003E686F">
      <w:pPr>
        <w:ind w:firstLine="708"/>
        <w:jc w:val="both"/>
      </w:pPr>
      <w:r w:rsidRPr="003E686F">
        <w:t xml:space="preserve">Ředitelka organizace je i nadále aktivní členkou komunitního plánování Města Česká Lípa, pracovní skupiny, která řeší problematiku potřeb osob se zdravotním postižením. </w:t>
      </w:r>
    </w:p>
    <w:p w:rsidR="0089362F" w:rsidRPr="003E686F" w:rsidRDefault="00B74F34" w:rsidP="003E686F">
      <w:pPr>
        <w:ind w:firstLine="708"/>
        <w:jc w:val="both"/>
      </w:pPr>
      <w:r w:rsidRPr="003E686F">
        <w:t>V roce 2018</w:t>
      </w:r>
      <w:r w:rsidR="0054009B" w:rsidRPr="003E686F">
        <w:t xml:space="preserve"> se </w:t>
      </w:r>
      <w:r w:rsidRPr="003E686F">
        <w:t>tradičně konalo</w:t>
      </w:r>
      <w:r w:rsidR="0054009B" w:rsidRPr="003E686F">
        <w:t xml:space="preserve"> setkání poskytovatelů sociálních služeb a zástupců organizací provozující různé sociální aktivity pro občany České Lípy. Organizace Denní a pobytové sociální služby se aktivně podílela na programu a patřila mezi významné vystavovatele. </w:t>
      </w:r>
    </w:p>
    <w:p w:rsidR="0054009B" w:rsidRPr="003E686F" w:rsidRDefault="0054009B" w:rsidP="003E686F">
      <w:pPr>
        <w:ind w:firstLine="708"/>
        <w:jc w:val="both"/>
      </w:pPr>
      <w:r w:rsidRPr="003E686F">
        <w:t xml:space="preserve">Každoročně pořádá organizace pro </w:t>
      </w:r>
      <w:r w:rsidR="0062401D" w:rsidRPr="003E686F">
        <w:t xml:space="preserve">rodiny uživatelů, </w:t>
      </w:r>
      <w:r w:rsidRPr="003E686F">
        <w:t>veřejnost, sponzory a zástupce spolupracujících organizací kulturně sportovní den s názvem „Den stacionáře, aneb jsme tak trochu jiná Partička“</w:t>
      </w:r>
      <w:r w:rsidR="0062401D" w:rsidRPr="003E686F">
        <w:t xml:space="preserve">. </w:t>
      </w:r>
      <w:r w:rsidRPr="003E686F">
        <w:t xml:space="preserve"> I te</w:t>
      </w:r>
      <w:r w:rsidR="00B74F34" w:rsidRPr="003E686F">
        <w:t xml:space="preserve">nto rok se akce vydařila. Novinkou akce byla velmi vzácná návštěva paní náměstkyně hejtmana Ing. J. Volfové a paní vedoucí oddělení příspěvkových organizací Ing. L. Kremerové. </w:t>
      </w:r>
    </w:p>
    <w:p w:rsidR="0054009B" w:rsidRPr="003E686F" w:rsidRDefault="0054009B" w:rsidP="003E686F">
      <w:pPr>
        <w:pStyle w:val="Odstavecseseznamem"/>
        <w:jc w:val="both"/>
      </w:pPr>
    </w:p>
    <w:p w:rsidR="0054009B" w:rsidRPr="003E686F" w:rsidRDefault="00B74F34" w:rsidP="003E686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3E686F">
        <w:rPr>
          <w:rFonts w:ascii="Times New Roman" w:hAnsi="Times New Roman"/>
          <w:sz w:val="24"/>
          <w:szCs w:val="24"/>
        </w:rPr>
        <w:t>V České Lípě dne 30. 5. 2019</w:t>
      </w:r>
    </w:p>
    <w:p w:rsidR="0054009B" w:rsidRPr="003E686F" w:rsidRDefault="0054009B" w:rsidP="003E686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54009B" w:rsidRPr="003E686F" w:rsidRDefault="0054009B" w:rsidP="003E686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3E686F">
        <w:rPr>
          <w:rFonts w:ascii="Times New Roman" w:hAnsi="Times New Roman"/>
          <w:sz w:val="24"/>
          <w:szCs w:val="24"/>
        </w:rPr>
        <w:t xml:space="preserve">                                Za celý pracovní tým</w:t>
      </w:r>
    </w:p>
    <w:p w:rsidR="0054009B" w:rsidRPr="003E686F" w:rsidRDefault="0054009B" w:rsidP="003E686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3E686F">
        <w:rPr>
          <w:rFonts w:ascii="Times New Roman" w:hAnsi="Times New Roman"/>
          <w:sz w:val="24"/>
          <w:szCs w:val="24"/>
        </w:rPr>
        <w:t xml:space="preserve">                 </w:t>
      </w:r>
      <w:r w:rsidR="0062401D" w:rsidRPr="003E686F">
        <w:rPr>
          <w:rFonts w:ascii="Times New Roman" w:hAnsi="Times New Roman"/>
          <w:sz w:val="24"/>
          <w:szCs w:val="24"/>
        </w:rPr>
        <w:tab/>
      </w:r>
      <w:r w:rsidR="0062401D" w:rsidRPr="003E686F">
        <w:rPr>
          <w:rFonts w:ascii="Times New Roman" w:hAnsi="Times New Roman"/>
          <w:sz w:val="24"/>
          <w:szCs w:val="24"/>
        </w:rPr>
        <w:tab/>
      </w:r>
      <w:r w:rsidR="0062401D" w:rsidRPr="003E686F">
        <w:rPr>
          <w:rFonts w:ascii="Times New Roman" w:hAnsi="Times New Roman"/>
          <w:sz w:val="24"/>
          <w:szCs w:val="24"/>
        </w:rPr>
        <w:tab/>
      </w:r>
      <w:r w:rsidR="0062401D" w:rsidRPr="003E686F">
        <w:rPr>
          <w:rFonts w:ascii="Times New Roman" w:hAnsi="Times New Roman"/>
          <w:sz w:val="24"/>
          <w:szCs w:val="24"/>
        </w:rPr>
        <w:tab/>
      </w:r>
      <w:r w:rsidRPr="003E686F">
        <w:rPr>
          <w:rFonts w:ascii="Times New Roman" w:hAnsi="Times New Roman"/>
          <w:sz w:val="24"/>
          <w:szCs w:val="24"/>
        </w:rPr>
        <w:t xml:space="preserve">Mgr. Ilona Hummelová </w:t>
      </w:r>
    </w:p>
    <w:p w:rsidR="0054009B" w:rsidRPr="003E686F" w:rsidRDefault="0054009B" w:rsidP="003E686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3E686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62401D" w:rsidRPr="003E686F">
        <w:rPr>
          <w:rFonts w:ascii="Times New Roman" w:hAnsi="Times New Roman"/>
          <w:sz w:val="24"/>
          <w:szCs w:val="24"/>
        </w:rPr>
        <w:tab/>
      </w:r>
      <w:r w:rsidR="0062401D" w:rsidRPr="003E686F">
        <w:rPr>
          <w:rFonts w:ascii="Times New Roman" w:hAnsi="Times New Roman"/>
          <w:sz w:val="24"/>
          <w:szCs w:val="24"/>
        </w:rPr>
        <w:tab/>
      </w:r>
      <w:r w:rsidR="003E686F" w:rsidRPr="003E686F">
        <w:rPr>
          <w:rFonts w:ascii="Times New Roman" w:hAnsi="Times New Roman"/>
          <w:sz w:val="24"/>
          <w:szCs w:val="24"/>
        </w:rPr>
        <w:tab/>
      </w:r>
      <w:r w:rsidRPr="003E686F">
        <w:rPr>
          <w:rFonts w:ascii="Times New Roman" w:hAnsi="Times New Roman"/>
          <w:sz w:val="24"/>
          <w:szCs w:val="24"/>
        </w:rPr>
        <w:t>ředitelka organizace DPSS</w:t>
      </w:r>
    </w:p>
    <w:p w:rsidR="0054009B" w:rsidRPr="003E686F" w:rsidRDefault="0054009B" w:rsidP="003E686F">
      <w:pPr>
        <w:pStyle w:val="Bezmezer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4009B" w:rsidRPr="003E686F" w:rsidRDefault="0054009B" w:rsidP="003E686F">
      <w:pPr>
        <w:pStyle w:val="Bezmezer"/>
        <w:spacing w:line="360" w:lineRule="auto"/>
        <w:ind w:left="720"/>
        <w:jc w:val="both"/>
        <w:rPr>
          <w:rFonts w:ascii="Times New Roman" w:hAnsi="Times New Roman"/>
        </w:rPr>
      </w:pPr>
    </w:p>
    <w:p w:rsidR="0054009B" w:rsidRPr="003E686F" w:rsidRDefault="0054009B" w:rsidP="003E686F">
      <w:pPr>
        <w:pStyle w:val="Bezmezer"/>
        <w:spacing w:line="360" w:lineRule="auto"/>
        <w:ind w:left="720"/>
        <w:jc w:val="both"/>
      </w:pPr>
    </w:p>
    <w:p w:rsidR="0054009B" w:rsidRPr="003E686F" w:rsidRDefault="0054009B" w:rsidP="0054009B">
      <w:pPr>
        <w:pStyle w:val="Bezmezer"/>
        <w:ind w:left="720"/>
        <w:jc w:val="both"/>
      </w:pPr>
    </w:p>
    <w:p w:rsidR="0054009B" w:rsidRPr="003E686F" w:rsidRDefault="0054009B" w:rsidP="0054009B">
      <w:pPr>
        <w:pStyle w:val="Bezmezer"/>
        <w:ind w:left="720"/>
        <w:jc w:val="both"/>
      </w:pPr>
    </w:p>
    <w:p w:rsidR="0054009B" w:rsidRPr="003E686F" w:rsidRDefault="0054009B" w:rsidP="0054009B">
      <w:pPr>
        <w:pStyle w:val="Bezmezer"/>
        <w:ind w:left="720"/>
        <w:jc w:val="both"/>
      </w:pPr>
    </w:p>
    <w:p w:rsidR="0054009B" w:rsidRPr="003E686F" w:rsidRDefault="0054009B" w:rsidP="0054009B">
      <w:pPr>
        <w:pStyle w:val="Zkladntext"/>
        <w:spacing w:after="120" w:line="276" w:lineRule="auto"/>
        <w:ind w:left="720"/>
        <w:jc w:val="both"/>
        <w:rPr>
          <w:b w:val="0"/>
          <w:szCs w:val="24"/>
        </w:rPr>
      </w:pPr>
    </w:p>
    <w:p w:rsidR="003341EA" w:rsidRPr="003E686F" w:rsidRDefault="003341EA" w:rsidP="003341EA">
      <w:pPr>
        <w:pStyle w:val="Bezmezer1"/>
        <w:jc w:val="both"/>
      </w:pPr>
    </w:p>
    <w:p w:rsidR="003341EA" w:rsidRPr="003E686F" w:rsidRDefault="003341EA" w:rsidP="003341EA">
      <w:pPr>
        <w:pStyle w:val="Bezmezer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41EA" w:rsidRPr="003E686F" w:rsidRDefault="003341EA" w:rsidP="003341EA">
      <w:pPr>
        <w:pStyle w:val="Bezmezer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41EA" w:rsidRDefault="003341EA" w:rsidP="003341EA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C1207D" w:rsidRDefault="00C1207D" w:rsidP="003341EA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C1207D" w:rsidRDefault="00C1207D" w:rsidP="003341EA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461FE1" w:rsidRDefault="00461FE1" w:rsidP="003341EA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461FE1" w:rsidRDefault="00461FE1" w:rsidP="003341EA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461FE1" w:rsidRDefault="00461FE1" w:rsidP="003341EA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461FE1" w:rsidRDefault="00461FE1" w:rsidP="003341EA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C1207D" w:rsidRDefault="00C1207D" w:rsidP="003341EA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C1207D" w:rsidRDefault="00C1207D" w:rsidP="003341EA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C1207D" w:rsidRDefault="00C1207D" w:rsidP="003341EA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C1207D" w:rsidRPr="003E686F" w:rsidRDefault="00C1207D" w:rsidP="003341EA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6E088F" w:rsidRDefault="006E088F" w:rsidP="009D6F59">
      <w:pPr>
        <w:rPr>
          <w:b/>
        </w:rPr>
      </w:pPr>
    </w:p>
    <w:p w:rsidR="00A44AD5" w:rsidRPr="00A44AD5" w:rsidRDefault="002C410D" w:rsidP="00BE7967">
      <w:pPr>
        <w:jc w:val="both"/>
        <w:rPr>
          <w:b/>
          <w:sz w:val="28"/>
          <w:szCs w:val="28"/>
        </w:rPr>
      </w:pPr>
      <w:r w:rsidRPr="00A44AD5">
        <w:rPr>
          <w:b/>
          <w:sz w:val="28"/>
          <w:szCs w:val="28"/>
        </w:rPr>
        <w:lastRenderedPageBreak/>
        <w:t xml:space="preserve">část </w:t>
      </w:r>
      <w:r w:rsidR="00A44AD5" w:rsidRPr="00A44AD5">
        <w:rPr>
          <w:b/>
          <w:sz w:val="28"/>
          <w:szCs w:val="28"/>
        </w:rPr>
        <w:t>B)</w:t>
      </w:r>
    </w:p>
    <w:p w:rsidR="009D6F59" w:rsidRPr="00A44AD5" w:rsidRDefault="009D6F59" w:rsidP="00BE7967">
      <w:pPr>
        <w:jc w:val="both"/>
        <w:rPr>
          <w:b/>
          <w:sz w:val="28"/>
          <w:szCs w:val="28"/>
        </w:rPr>
      </w:pPr>
      <w:r w:rsidRPr="00A44AD5">
        <w:rPr>
          <w:b/>
          <w:sz w:val="28"/>
          <w:szCs w:val="28"/>
          <w:u w:val="single"/>
        </w:rPr>
        <w:t>VYHODNOCENÍ FINANČNÍHO HOSPODAŘENÍ ORGANIZACE</w:t>
      </w:r>
    </w:p>
    <w:p w:rsidR="009D6F59" w:rsidRPr="00EC78D4" w:rsidRDefault="009D6F59" w:rsidP="009D6F59">
      <w:pPr>
        <w:rPr>
          <w:b/>
          <w:u w:val="thick"/>
        </w:rPr>
      </w:pPr>
    </w:p>
    <w:p w:rsidR="009D6F59" w:rsidRPr="00EC78D4" w:rsidRDefault="009D6F59" w:rsidP="00BE7967">
      <w:pPr>
        <w:jc w:val="both"/>
        <w:rPr>
          <w:b/>
          <w:u w:val="single"/>
        </w:rPr>
      </w:pPr>
      <w:r w:rsidRPr="00EC78D4">
        <w:rPr>
          <w:b/>
        </w:rPr>
        <w:t xml:space="preserve">1.  </w:t>
      </w:r>
      <w:r w:rsidRPr="00EC78D4">
        <w:rPr>
          <w:b/>
          <w:u w:val="single"/>
        </w:rPr>
        <w:t xml:space="preserve">Analýza tvorby výnosů; zhodnocení vývoje ve srovnání s předchozím rokem </w:t>
      </w:r>
    </w:p>
    <w:p w:rsidR="009D6F59" w:rsidRPr="00EC78D4" w:rsidRDefault="009D6F59" w:rsidP="009D6F59"/>
    <w:p w:rsidR="009D6F59" w:rsidRPr="00EC78D4" w:rsidRDefault="009D6F59" w:rsidP="009D6F59">
      <w:pPr>
        <w:rPr>
          <w:sz w:val="20"/>
        </w:rPr>
      </w:pPr>
      <w:r w:rsidRPr="00EC78D4">
        <w:rPr>
          <w:sz w:val="20"/>
        </w:rPr>
        <w:t>TABULKA VÝNOSŮ:</w:t>
      </w:r>
      <w:r w:rsidRPr="00EC78D4">
        <w:rPr>
          <w:sz w:val="20"/>
        </w:rPr>
        <w:tab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567"/>
        <w:gridCol w:w="567"/>
        <w:gridCol w:w="4394"/>
        <w:gridCol w:w="1134"/>
        <w:gridCol w:w="992"/>
        <w:gridCol w:w="1062"/>
      </w:tblGrid>
      <w:tr w:rsidR="009D6F59" w:rsidRPr="00EC78D4" w:rsidTr="001152A4">
        <w:trPr>
          <w:trHeight w:val="18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 xml:space="preserve">účet dle </w:t>
            </w:r>
            <w:proofErr w:type="spellStart"/>
            <w:r w:rsidRPr="00EC78D4">
              <w:rPr>
                <w:b/>
                <w:bCs/>
                <w:sz w:val="20"/>
                <w:lang w:eastAsia="en-US"/>
              </w:rPr>
              <w:t>vyhl</w:t>
            </w:r>
            <w:proofErr w:type="spellEnd"/>
            <w:r w:rsidRPr="00EC78D4">
              <w:rPr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Ukazatel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Skutečnost 201</w:t>
            </w:r>
            <w:r w:rsidR="001152A4">
              <w:rPr>
                <w:b/>
                <w:bCs/>
                <w:sz w:val="20"/>
                <w:lang w:eastAsia="en-US"/>
              </w:rPr>
              <w:t>7</w:t>
            </w:r>
          </w:p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v tis. Kč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Skutečnost 201</w:t>
            </w:r>
            <w:r w:rsidR="001152A4">
              <w:rPr>
                <w:b/>
                <w:bCs/>
                <w:sz w:val="20"/>
                <w:lang w:eastAsia="en-US"/>
              </w:rPr>
              <w:t>8</w:t>
            </w:r>
          </w:p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v tis. Kč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Porovnání 201</w:t>
            </w:r>
            <w:r w:rsidR="001152A4">
              <w:rPr>
                <w:b/>
                <w:bCs/>
                <w:sz w:val="20"/>
                <w:lang w:eastAsia="en-US"/>
              </w:rPr>
              <w:t>8</w:t>
            </w:r>
            <w:r w:rsidRPr="00EC78D4">
              <w:rPr>
                <w:b/>
                <w:bCs/>
                <w:sz w:val="20"/>
                <w:lang w:eastAsia="en-US"/>
              </w:rPr>
              <w:t>/201</w:t>
            </w:r>
            <w:r w:rsidR="001152A4">
              <w:rPr>
                <w:b/>
                <w:bCs/>
                <w:sz w:val="20"/>
                <w:lang w:eastAsia="en-US"/>
              </w:rPr>
              <w:t>7</w:t>
            </w:r>
            <w:r w:rsidRPr="00EC78D4">
              <w:rPr>
                <w:b/>
                <w:bCs/>
                <w:sz w:val="20"/>
                <w:lang w:eastAsia="en-US"/>
              </w:rPr>
              <w:t xml:space="preserve"> v %</w:t>
            </w:r>
          </w:p>
        </w:tc>
      </w:tr>
      <w:tr w:rsidR="009D6F59" w:rsidRPr="00EC78D4" w:rsidTr="001152A4">
        <w:trPr>
          <w:trHeight w:val="187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9D6F59" w:rsidRPr="00EC78D4" w:rsidTr="001152A4">
        <w:trPr>
          <w:trHeight w:val="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č. 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č. 410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9D6F59" w:rsidRPr="00EC78D4" w:rsidTr="001152A4">
        <w:trPr>
          <w:trHeight w:val="210"/>
        </w:trPr>
        <w:tc>
          <w:tcPr>
            <w:tcW w:w="596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VÝNOSY CELKEM  - účtová třída 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11197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13150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117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60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Výnosy z vlastních výkonů a zboží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2523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2688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106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výnosy z prodeje vlastních výrobků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výnosy z prodeje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106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603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výnosy z pronájmu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604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výnosy z prodaného zboží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 xml:space="preserve">609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jiné výnosy z vlastních výkonů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EC78D4">
              <w:rPr>
                <w:b/>
                <w:sz w:val="20"/>
                <w:lang w:eastAsia="en-US"/>
              </w:rPr>
              <w:t>64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EC78D4">
              <w:rPr>
                <w:b/>
                <w:bCs/>
                <w:sz w:val="20"/>
                <w:lang w:eastAsia="en-US"/>
              </w:rPr>
              <w:t>Ostatní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32660B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18</w:t>
            </w:r>
            <w:r w:rsidR="0032660B">
              <w:rPr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30DB0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12</w:t>
            </w:r>
            <w:r w:rsidR="00130DB0">
              <w:rPr>
                <w:b/>
                <w:bCs/>
                <w:sz w:val="20"/>
                <w:lang w:eastAsia="en-US"/>
              </w:rPr>
              <w:t>3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641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smluvní pokuty a úroky z prodlení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642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jiné pokuty a penále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643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výnosy z odepsaných pohledávek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644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výnosy z prodeje materiálu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EC78D4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C78D4">
              <w:rPr>
                <w:sz w:val="20"/>
                <w:lang w:eastAsia="en-US"/>
              </w:rPr>
              <w:t>651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F59" w:rsidRPr="00EC78D4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645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výnosy z prodeje dlouhodobého nehmotného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9D6F59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 w:rsidRPr="00EC78D4"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EC78D4" w:rsidRDefault="001152A4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EC78D4" w:rsidRDefault="00E944DB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646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výnosy z prodeje dlouhodobého 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647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výnosy z prodeje pozemků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648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čerpání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89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127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649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ostatní výnosy z činnosti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32660B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9</w:t>
            </w:r>
            <w:r w:rsidR="0032660B">
              <w:rPr>
                <w:bCs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30DB0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11</w:t>
            </w:r>
            <w:r w:rsidR="00130DB0">
              <w:rPr>
                <w:bCs/>
                <w:color w:val="000000"/>
                <w:sz w:val="20"/>
                <w:lang w:eastAsia="en-US"/>
              </w:rPr>
              <w:t>9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843E50">
              <w:rPr>
                <w:b/>
                <w:color w:val="000000"/>
                <w:sz w:val="20"/>
                <w:lang w:eastAsia="en-US"/>
              </w:rPr>
              <w:t>66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color w:val="000000"/>
                <w:sz w:val="20"/>
                <w:lang w:eastAsia="en-US"/>
              </w:rPr>
            </w:pPr>
            <w:r w:rsidRPr="00843E50">
              <w:rPr>
                <w:b/>
                <w:bCs/>
                <w:color w:val="000000"/>
                <w:sz w:val="20"/>
                <w:lang w:eastAsia="en-US"/>
              </w:rPr>
              <w:t>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662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úroky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663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kurzové zisky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664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výnosy z přecenění reálnou hodnotou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669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ostatní 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843E50">
              <w:rPr>
                <w:b/>
                <w:color w:val="000000"/>
                <w:sz w:val="20"/>
                <w:lang w:eastAsia="en-US"/>
              </w:rPr>
              <w:t>67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color w:val="000000"/>
                <w:sz w:val="20"/>
                <w:lang w:eastAsia="en-US"/>
              </w:rPr>
            </w:pPr>
            <w:r w:rsidRPr="00843E50">
              <w:rPr>
                <w:b/>
                <w:bCs/>
                <w:color w:val="000000"/>
                <w:sz w:val="20"/>
                <w:lang w:eastAsia="en-US"/>
              </w:rPr>
              <w:t>Výnosy z nároků na prostředky SR, rozpočtu ÚSC a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8525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10279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120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67</w:t>
            </w:r>
            <w:r w:rsidR="001152A4">
              <w:rPr>
                <w:bCs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výnosy z nároků na prostředky SR</w:t>
            </w:r>
            <w:r w:rsidR="001152A4">
              <w:rPr>
                <w:bCs/>
                <w:color w:val="000000"/>
                <w:sz w:val="20"/>
                <w:lang w:eastAsia="en-US"/>
              </w:rPr>
              <w:t xml:space="preserve"> (MPSV)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5576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7616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136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672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výnosy z nároků na prostředky rozpočtů ÚSC</w:t>
            </w:r>
            <w:r w:rsidR="001152A4">
              <w:rPr>
                <w:bCs/>
                <w:color w:val="000000"/>
                <w:sz w:val="20"/>
                <w:lang w:eastAsia="en-US"/>
              </w:rPr>
              <w:t xml:space="preserve"> (LK)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2635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32660B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244</w:t>
            </w:r>
            <w:r w:rsidR="0032660B">
              <w:rPr>
                <w:bCs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30DB0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9</w:t>
            </w:r>
            <w:r w:rsidR="00130DB0">
              <w:rPr>
                <w:bCs/>
                <w:color w:val="000000"/>
                <w:sz w:val="20"/>
                <w:lang w:eastAsia="en-US"/>
              </w:rPr>
              <w:t>3</w:t>
            </w:r>
          </w:p>
        </w:tc>
      </w:tr>
      <w:tr w:rsidR="009D6F59" w:rsidRPr="00843E50" w:rsidTr="001152A4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32660B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67</w:t>
            </w:r>
            <w:r w:rsidR="0032660B">
              <w:rPr>
                <w:bCs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32660B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Výnosy</w:t>
            </w:r>
            <w:r w:rsidR="0032660B">
              <w:rPr>
                <w:bCs/>
                <w:color w:val="000000"/>
                <w:sz w:val="20"/>
                <w:lang w:eastAsia="en-US"/>
              </w:rPr>
              <w:t xml:space="preserve"> – účelová neinvestiční dotace LK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2660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155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014A82" w:rsidRDefault="00E944D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843E50">
              <w:rPr>
                <w:color w:val="000000"/>
                <w:sz w:val="20"/>
                <w:lang w:eastAsia="en-US"/>
              </w:rPr>
              <w:t>691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32660B">
            <w:pPr>
              <w:spacing w:line="276" w:lineRule="auto"/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>67</w:t>
            </w:r>
            <w:r w:rsidR="0032660B">
              <w:rPr>
                <w:bCs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32660B">
            <w:pPr>
              <w:spacing w:line="276" w:lineRule="auto"/>
              <w:rPr>
                <w:bCs/>
                <w:color w:val="000000"/>
                <w:sz w:val="20"/>
                <w:lang w:eastAsia="en-US"/>
              </w:rPr>
            </w:pPr>
            <w:r w:rsidRPr="00843E50">
              <w:rPr>
                <w:bCs/>
                <w:color w:val="000000"/>
                <w:sz w:val="20"/>
                <w:lang w:eastAsia="en-US"/>
              </w:rPr>
              <w:t xml:space="preserve">Výnosy </w:t>
            </w:r>
            <w:r w:rsidR="0032660B">
              <w:rPr>
                <w:bCs/>
                <w:color w:val="000000"/>
                <w:sz w:val="20"/>
                <w:lang w:eastAsia="en-US"/>
              </w:rPr>
              <w:t>– ostatní prostředky – veřejné zdroje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2660B" w:rsidP="001152A4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65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30DB0">
            <w:pPr>
              <w:spacing w:line="276" w:lineRule="auto"/>
              <w:jc w:val="right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2</w:t>
            </w:r>
            <w:r w:rsidR="00130DB0">
              <w:rPr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10"/>
        </w:trPr>
        <w:tc>
          <w:tcPr>
            <w:tcW w:w="59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color w:val="000000"/>
                <w:sz w:val="20"/>
                <w:lang w:eastAsia="en-US"/>
              </w:rPr>
            </w:pPr>
            <w:r w:rsidRPr="00843E50">
              <w:rPr>
                <w:b/>
                <w:bCs/>
                <w:color w:val="000000"/>
                <w:sz w:val="20"/>
                <w:lang w:eastAsia="en-US"/>
              </w:rPr>
              <w:t>Hospodářský výsledek po zdanění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152A4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2660B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843E50" w:rsidRDefault="00E944DB" w:rsidP="001152A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</w:tr>
    </w:tbl>
    <w:p w:rsidR="009D6F59" w:rsidRDefault="009D6F59" w:rsidP="009D6F59"/>
    <w:p w:rsidR="00204720" w:rsidRDefault="009D6F59" w:rsidP="009D6F59">
      <w:pPr>
        <w:jc w:val="both"/>
        <w:rPr>
          <w:b/>
        </w:rPr>
      </w:pPr>
      <w:r>
        <w:rPr>
          <w:b/>
        </w:rPr>
        <w:t xml:space="preserve">Komentář k výnosům v hlavní činnosti: </w:t>
      </w:r>
    </w:p>
    <w:p w:rsidR="009D6F59" w:rsidRDefault="00204720" w:rsidP="009D6F59">
      <w:pPr>
        <w:jc w:val="both"/>
      </w:pPr>
      <w:r>
        <w:t xml:space="preserve">Vlastní výnosy se v roce 2018 oproti roku 2017 zvýšily </w:t>
      </w:r>
      <w:r w:rsidRPr="00860604">
        <w:t xml:space="preserve">a to z důvodu </w:t>
      </w:r>
      <w:r w:rsidR="002A4A54" w:rsidRPr="00860604">
        <w:t>navýšení úhrad za</w:t>
      </w:r>
      <w:r w:rsidR="002A4A54">
        <w:rPr>
          <w:color w:val="FF0000"/>
        </w:rPr>
        <w:t xml:space="preserve"> </w:t>
      </w:r>
      <w:r w:rsidR="002A4A54" w:rsidRPr="00860604">
        <w:t>poskytování služby</w:t>
      </w:r>
      <w:r w:rsidR="00860604" w:rsidRPr="00860604">
        <w:t xml:space="preserve"> v DS a DOZP.</w:t>
      </w:r>
      <w:r>
        <w:rPr>
          <w:color w:val="FF0000"/>
        </w:rPr>
        <w:t xml:space="preserve"> </w:t>
      </w:r>
      <w:r>
        <w:t xml:space="preserve">V roce 2018 se zvýšily osobní náklady, neboť v listopadu 2017 došlo k zákonnému navýšení platových tarifů všem zaměstnancům v sociálních službách, s čímž je spojeno i navýšení zákonného sociálního pojištění, jiných sociálních nákladů a zákonných sociálních nákladů. Tím se navýšil příspěvek </w:t>
      </w:r>
      <w:r w:rsidR="002A4A54">
        <w:t xml:space="preserve">zřizovatele na poskytování služeb v obecném hospodářském zájmu </w:t>
      </w:r>
      <w:r>
        <w:t xml:space="preserve">z rozpočtu Libereckého kraje z finančních prostředků MPSV. </w:t>
      </w:r>
      <w:r w:rsidR="002A4A54">
        <w:t>O</w:t>
      </w:r>
      <w:r w:rsidR="009D6F59">
        <w:t xml:space="preserve">rganizace se snaží v rámci vícezdrojového financování získávat finanční dary, dotace a granty. </w:t>
      </w:r>
    </w:p>
    <w:p w:rsidR="009D6F59" w:rsidRDefault="009D6F59" w:rsidP="009D6F59">
      <w:pPr>
        <w:jc w:val="both"/>
      </w:pPr>
    </w:p>
    <w:p w:rsidR="009D6F59" w:rsidRDefault="009D6F59" w:rsidP="00BE7967">
      <w:pPr>
        <w:jc w:val="both"/>
        <w:rPr>
          <w:b/>
          <w:u w:val="single"/>
        </w:rPr>
      </w:pPr>
      <w:r>
        <w:rPr>
          <w:b/>
        </w:rPr>
        <w:t>2.</w:t>
      </w:r>
      <w:r>
        <w:t xml:space="preserve">  </w:t>
      </w:r>
      <w:proofErr w:type="gramStart"/>
      <w:r>
        <w:rPr>
          <w:b/>
          <w:u w:val="single"/>
        </w:rPr>
        <w:t>Rozbor</w:t>
      </w:r>
      <w:proofErr w:type="gramEnd"/>
      <w:r>
        <w:rPr>
          <w:b/>
          <w:u w:val="single"/>
        </w:rPr>
        <w:t xml:space="preserve"> čerpání rozhodujících položek ná</w:t>
      </w:r>
      <w:r w:rsidR="002474D7">
        <w:rPr>
          <w:b/>
          <w:u w:val="single"/>
        </w:rPr>
        <w:t xml:space="preserve">kladů se zaměřením na příčiny, </w:t>
      </w:r>
      <w:proofErr w:type="gramStart"/>
      <w:r>
        <w:rPr>
          <w:b/>
          <w:u w:val="single"/>
        </w:rPr>
        <w:t>které</w:t>
      </w:r>
      <w:proofErr w:type="gramEnd"/>
      <w:r>
        <w:rPr>
          <w:b/>
          <w:u w:val="single"/>
        </w:rPr>
        <w:t xml:space="preserve">  </w:t>
      </w:r>
    </w:p>
    <w:p w:rsidR="009D6F59" w:rsidRDefault="009D6F59" w:rsidP="00BE7967">
      <w:pPr>
        <w:jc w:val="both"/>
        <w:rPr>
          <w:b/>
          <w:u w:val="single"/>
        </w:rPr>
      </w:pPr>
      <w:r>
        <w:rPr>
          <w:b/>
        </w:rPr>
        <w:t xml:space="preserve">     </w:t>
      </w:r>
      <w:r>
        <w:rPr>
          <w:b/>
          <w:u w:val="single"/>
        </w:rPr>
        <w:t>způsobily nežádoucí vývoj oproti předpokládaným parametrům</w:t>
      </w:r>
    </w:p>
    <w:p w:rsidR="009D6F59" w:rsidRDefault="009D6F59" w:rsidP="009D6F59">
      <w:pPr>
        <w:rPr>
          <w:b/>
          <w:u w:val="single"/>
        </w:rPr>
      </w:pPr>
    </w:p>
    <w:p w:rsidR="009D6F59" w:rsidRDefault="009D6F59" w:rsidP="009D6F59">
      <w:pPr>
        <w:rPr>
          <w:b/>
          <w:sz w:val="20"/>
        </w:rPr>
      </w:pPr>
      <w:r>
        <w:t xml:space="preserve"> </w:t>
      </w:r>
      <w:r>
        <w:rPr>
          <w:b/>
          <w:sz w:val="20"/>
        </w:rPr>
        <w:t>TABULKA NÁKLADŮ:</w:t>
      </w:r>
    </w:p>
    <w:p w:rsidR="009D6F59" w:rsidRDefault="009D6F59" w:rsidP="009D6F5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  <w:t xml:space="preserve"> </w:t>
      </w:r>
    </w:p>
    <w:tbl>
      <w:tblPr>
        <w:tblW w:w="932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0"/>
        <w:gridCol w:w="726"/>
        <w:gridCol w:w="19"/>
        <w:gridCol w:w="708"/>
        <w:gridCol w:w="12"/>
        <w:gridCol w:w="12"/>
        <w:gridCol w:w="4230"/>
        <w:gridCol w:w="1134"/>
        <w:gridCol w:w="1134"/>
        <w:gridCol w:w="1029"/>
      </w:tblGrid>
      <w:tr w:rsidR="009D6F59" w:rsidRPr="00843E50" w:rsidTr="001152A4">
        <w:trPr>
          <w:trHeight w:val="345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 xml:space="preserve">účet dle </w:t>
            </w:r>
            <w:proofErr w:type="spellStart"/>
            <w:r w:rsidRPr="00843E50">
              <w:rPr>
                <w:b/>
                <w:bCs/>
                <w:sz w:val="20"/>
                <w:lang w:eastAsia="en-US"/>
              </w:rPr>
              <w:t>vyhl</w:t>
            </w:r>
            <w:proofErr w:type="spellEnd"/>
            <w:r w:rsidRPr="00843E50">
              <w:rPr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4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ukazatel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Skutečnost 201</w:t>
            </w:r>
            <w:r w:rsidR="000443D0">
              <w:rPr>
                <w:b/>
                <w:bCs/>
                <w:sz w:val="20"/>
                <w:lang w:eastAsia="en-US"/>
              </w:rPr>
              <w:t>7</w:t>
            </w:r>
          </w:p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v tis. Kč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Skutečnost 201</w:t>
            </w:r>
            <w:r w:rsidR="000443D0">
              <w:rPr>
                <w:b/>
                <w:bCs/>
                <w:sz w:val="20"/>
                <w:lang w:eastAsia="en-US"/>
              </w:rPr>
              <w:t>8</w:t>
            </w:r>
          </w:p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v tis. Kč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9D6F59" w:rsidP="000443D0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Porovnání 201</w:t>
            </w:r>
            <w:r w:rsidR="000443D0">
              <w:rPr>
                <w:b/>
                <w:bCs/>
                <w:sz w:val="20"/>
                <w:lang w:eastAsia="en-US"/>
              </w:rPr>
              <w:t>8</w:t>
            </w:r>
            <w:r w:rsidRPr="00843E50">
              <w:rPr>
                <w:b/>
                <w:bCs/>
                <w:sz w:val="20"/>
                <w:lang w:eastAsia="en-US"/>
              </w:rPr>
              <w:t>/201</w:t>
            </w:r>
            <w:r w:rsidR="000443D0">
              <w:rPr>
                <w:b/>
                <w:bCs/>
                <w:sz w:val="20"/>
                <w:lang w:eastAsia="en-US"/>
              </w:rPr>
              <w:t>7</w:t>
            </w:r>
            <w:r w:rsidRPr="00843E50">
              <w:rPr>
                <w:b/>
                <w:bCs/>
                <w:sz w:val="20"/>
                <w:lang w:eastAsia="en-US"/>
              </w:rPr>
              <w:t xml:space="preserve"> v %</w:t>
            </w:r>
          </w:p>
        </w:tc>
      </w:tr>
      <w:tr w:rsidR="009D6F59" w:rsidRPr="00843E50" w:rsidTr="001152A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č.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č. 410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9D6F59" w:rsidRPr="00843E50" w:rsidTr="001152A4">
        <w:trPr>
          <w:trHeight w:val="255"/>
        </w:trPr>
        <w:tc>
          <w:tcPr>
            <w:tcW w:w="602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NÁKLADY CELKEM - účtová třída 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11197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13150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A678C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117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50</w:t>
            </w:r>
          </w:p>
        </w:tc>
        <w:tc>
          <w:tcPr>
            <w:tcW w:w="570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Spotřebované nákupy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1140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1139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130DB0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100</w:t>
            </w:r>
          </w:p>
        </w:tc>
      </w:tr>
      <w:tr w:rsidR="009D6F59" w:rsidRPr="00843E50" w:rsidTr="001152A4">
        <w:trPr>
          <w:trHeight w:val="18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501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spotřeba materiálu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A678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</w:t>
            </w:r>
          </w:p>
        </w:tc>
      </w:tr>
      <w:tr w:rsidR="009D6F59" w:rsidRPr="00843E50" w:rsidTr="001152A4">
        <w:trPr>
          <w:trHeight w:val="19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 xml:space="preserve">    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502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 xml:space="preserve">spotřeba energie (teplo, voda, plyn, </w:t>
            </w:r>
            <w:proofErr w:type="spellStart"/>
            <w:proofErr w:type="gramStart"/>
            <w:r w:rsidRPr="00843E50">
              <w:rPr>
                <w:sz w:val="20"/>
                <w:lang w:eastAsia="en-US"/>
              </w:rPr>
              <w:t>el</w:t>
            </w:r>
            <w:proofErr w:type="gramEnd"/>
            <w:r w:rsidRPr="00843E50">
              <w:rPr>
                <w:sz w:val="20"/>
                <w:lang w:eastAsia="en-US"/>
              </w:rPr>
              <w:t>.</w:t>
            </w:r>
            <w:proofErr w:type="gramStart"/>
            <w:r w:rsidRPr="00843E50">
              <w:rPr>
                <w:sz w:val="20"/>
                <w:lang w:eastAsia="en-US"/>
              </w:rPr>
              <w:t>energie</w:t>
            </w:r>
            <w:proofErr w:type="spellEnd"/>
            <w:proofErr w:type="gramEnd"/>
            <w:r w:rsidRPr="00843E50">
              <w:rPr>
                <w:sz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A678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</w:t>
            </w:r>
          </w:p>
        </w:tc>
      </w:tr>
      <w:tr w:rsidR="009D6F59" w:rsidRPr="00843E50" w:rsidTr="001152A4">
        <w:trPr>
          <w:trHeight w:val="18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503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spotřeba jiných neskladovatelných dodávek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A678C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101</w:t>
            </w:r>
          </w:p>
        </w:tc>
      </w:tr>
      <w:tr w:rsidR="009D6F59" w:rsidRPr="00843E50" w:rsidTr="001152A4">
        <w:trPr>
          <w:trHeight w:val="18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504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prodané zboží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A678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51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Služby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A678C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123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511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Opravy a udržování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DF76FA" w:rsidRDefault="003A678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DF76FA">
              <w:rPr>
                <w:sz w:val="20"/>
                <w:lang w:eastAsia="en-US"/>
              </w:rPr>
              <w:t>237</w:t>
            </w:r>
          </w:p>
        </w:tc>
      </w:tr>
      <w:tr w:rsidR="009D6F59" w:rsidRPr="00843E50" w:rsidTr="001152A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512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512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Cestovné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DF76FA" w:rsidRDefault="003A678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DF76FA">
              <w:rPr>
                <w:sz w:val="20"/>
                <w:lang w:eastAsia="en-US"/>
              </w:rPr>
              <w:t>120</w:t>
            </w:r>
          </w:p>
        </w:tc>
      </w:tr>
      <w:tr w:rsidR="009D6F59" w:rsidRPr="000D23B4" w:rsidTr="001152A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513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513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Náklady na reprezentaci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DF76FA" w:rsidRDefault="003A678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DF76FA">
              <w:rPr>
                <w:sz w:val="20"/>
                <w:lang w:eastAsia="en-US"/>
              </w:rPr>
              <w:t>33</w:t>
            </w:r>
          </w:p>
        </w:tc>
      </w:tr>
      <w:tr w:rsidR="009D6F59" w:rsidRPr="00843E50" w:rsidTr="001152A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518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518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Ostatní služby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A678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52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Osobní náklady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9526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3A678C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1117</w:t>
            </w:r>
            <w:r w:rsidR="003A678C">
              <w:rPr>
                <w:b/>
                <w:bCs/>
                <w:sz w:val="20"/>
                <w:lang w:eastAsia="en-US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A678C" w:rsidP="001152A4">
            <w:pPr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117</w:t>
            </w:r>
          </w:p>
        </w:tc>
      </w:tr>
      <w:tr w:rsidR="009D6F59" w:rsidRPr="00843E50" w:rsidTr="001152A4">
        <w:trPr>
          <w:trHeight w:val="180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521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mzdové náklady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A678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</w:t>
            </w:r>
          </w:p>
        </w:tc>
      </w:tr>
      <w:tr w:rsidR="009D6F59" w:rsidRPr="00843E50" w:rsidTr="001152A4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524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zákonné sociální pojištění (</w:t>
            </w:r>
            <w:proofErr w:type="gramStart"/>
            <w:r w:rsidRPr="00843E50">
              <w:rPr>
                <w:sz w:val="20"/>
                <w:lang w:eastAsia="en-US"/>
              </w:rPr>
              <w:t>zdravotní,sociální</w:t>
            </w:r>
            <w:proofErr w:type="gramEnd"/>
            <w:r w:rsidRPr="00843E50">
              <w:rPr>
                <w:sz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2746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A678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117</w:t>
            </w:r>
          </w:p>
        </w:tc>
      </w:tr>
      <w:tr w:rsidR="009D6F59" w:rsidRPr="00843E50" w:rsidTr="001152A4">
        <w:trPr>
          <w:trHeight w:val="180"/>
        </w:trPr>
        <w:tc>
          <w:tcPr>
            <w:tcW w:w="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525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ostatní sociální pojištění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A678C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117</w:t>
            </w:r>
          </w:p>
        </w:tc>
      </w:tr>
      <w:tr w:rsidR="009D6F59" w:rsidRPr="00843E50" w:rsidTr="001152A4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527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Zákonné sociální náklady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258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A678C" w:rsidP="003A678C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95</w:t>
            </w:r>
          </w:p>
        </w:tc>
      </w:tr>
      <w:tr w:rsidR="009D6F59" w:rsidRPr="00843E50" w:rsidTr="001152A4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528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 xml:space="preserve">jiné sociální náklady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A678C" w:rsidP="001152A4">
            <w:pPr>
              <w:spacing w:line="276" w:lineRule="auto"/>
              <w:jc w:val="right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53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Daně a poplatky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A678C" w:rsidRDefault="000443D0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A678C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A678C" w:rsidRDefault="000443D0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A678C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A678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54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Ostatní náklady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0443D0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3A678C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81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55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Odpisy, rezervy a opravné položky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0443D0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0443D0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286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3A678C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392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551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551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Odpisy dlouhodobého majetku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3A678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100</w:t>
            </w:r>
          </w:p>
        </w:tc>
      </w:tr>
      <w:tr w:rsidR="009D6F59" w:rsidRPr="00843E50" w:rsidTr="001152A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556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556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Tvorba a zúčtování opravných položek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3A678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557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557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Náklady z odepsaných pohledávek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3A678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558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Cs/>
                <w:sz w:val="20"/>
                <w:lang w:eastAsia="en-US"/>
              </w:rPr>
            </w:pPr>
            <w:r w:rsidRPr="00843E50">
              <w:rPr>
                <w:bCs/>
                <w:sz w:val="20"/>
                <w:lang w:eastAsia="en-US"/>
              </w:rPr>
              <w:t>Náklady z drobného dlouhodobého majetku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0443D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256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3A678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595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56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Finanční náklady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562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úroky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563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kurzové ztráty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564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náklady z přecenění reálnou hodnotou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569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ostatní finanční náklady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843E50">
              <w:rPr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843E50" w:rsidTr="001152A4">
        <w:trPr>
          <w:trHeight w:val="2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59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843E50">
              <w:rPr>
                <w:b/>
                <w:bCs/>
                <w:sz w:val="20"/>
                <w:lang w:eastAsia="en-US"/>
              </w:rPr>
              <w:t>Daň z příjmů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843E50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843E50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843E50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</w:tbl>
    <w:p w:rsidR="009D6F59" w:rsidRDefault="009D6F59" w:rsidP="009D6F59"/>
    <w:p w:rsidR="00376004" w:rsidRDefault="009D6F59" w:rsidP="00397572">
      <w:pPr>
        <w:jc w:val="both"/>
        <w:rPr>
          <w:b/>
        </w:rPr>
      </w:pPr>
      <w:r>
        <w:rPr>
          <w:b/>
        </w:rPr>
        <w:t xml:space="preserve">Komentář k nákladům: </w:t>
      </w:r>
    </w:p>
    <w:p w:rsidR="009D6F59" w:rsidRDefault="00376004" w:rsidP="00397572">
      <w:pPr>
        <w:jc w:val="both"/>
      </w:pPr>
      <w:r>
        <w:t>Celkové</w:t>
      </w:r>
      <w:r w:rsidR="00C739F5">
        <w:t xml:space="preserve"> náklady za rok 2018 se oproti roku 2017 výrazně zvýšily. Zvýšení nákladů </w:t>
      </w:r>
      <w:r w:rsidR="00C739F5" w:rsidRPr="00DF76FA">
        <w:t xml:space="preserve">je </w:t>
      </w:r>
      <w:r w:rsidR="00C739F5">
        <w:t xml:space="preserve">v osobních nákladech, což bylo způsobeno zákonným navyšováním platových tarifů všech zaměstnanců v sociálních službách od listopadu 2017. Z tohoto navýšení hrubých mezd se zvýšily i odvody na zákonné sociální pojištění, zdravotní pojištění a odvody do fondu kulturních a sociálních potřeb. Dále se zvýšily náklady na služby – a to díky </w:t>
      </w:r>
      <w:r w:rsidR="000254C7">
        <w:t xml:space="preserve">opravám sociálního zařízení, elektroinstalace, topení </w:t>
      </w:r>
      <w:r w:rsidR="002474D7">
        <w:t xml:space="preserve">a auta. Tyto opravy bylo nutné </w:t>
      </w:r>
      <w:r w:rsidR="000254C7">
        <w:t>uskutečnit. Zároveň bylo nutné dokoupit nové vybavení do kuchyně, šaten a tříd, tím se zvýšily náklady z drobného dlouhodobého majetku.</w:t>
      </w:r>
    </w:p>
    <w:p w:rsidR="009D6F59" w:rsidRDefault="009D6F59" w:rsidP="009D6F59"/>
    <w:p w:rsidR="009D6F59" w:rsidRDefault="009D6F59" w:rsidP="009D6F59"/>
    <w:p w:rsidR="009D6F59" w:rsidRDefault="009D6F59" w:rsidP="009D6F59"/>
    <w:p w:rsidR="009D6F59" w:rsidRDefault="009D6F59" w:rsidP="00BE7967">
      <w:pPr>
        <w:jc w:val="both"/>
        <w:rPr>
          <w:b/>
          <w:u w:val="single"/>
        </w:rPr>
      </w:pPr>
      <w:r>
        <w:rPr>
          <w:b/>
        </w:rPr>
        <w:t xml:space="preserve">3.  </w:t>
      </w:r>
      <w:r>
        <w:rPr>
          <w:b/>
          <w:u w:val="single"/>
        </w:rPr>
        <w:t>Plnění soustavy ukazatelů k rozpočtu organizace</w:t>
      </w:r>
    </w:p>
    <w:p w:rsidR="009D6F59" w:rsidRDefault="009D6F59" w:rsidP="009D6F59">
      <w:r>
        <w:t xml:space="preserve">    </w:t>
      </w:r>
    </w:p>
    <w:tbl>
      <w:tblPr>
        <w:tblW w:w="9162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446"/>
        <w:gridCol w:w="5506"/>
        <w:gridCol w:w="1100"/>
        <w:gridCol w:w="1100"/>
        <w:gridCol w:w="1029"/>
      </w:tblGrid>
      <w:tr w:rsidR="009D6F59" w:rsidRPr="001879B5" w:rsidTr="001152A4">
        <w:trPr>
          <w:trHeight w:val="390"/>
        </w:trPr>
        <w:tc>
          <w:tcPr>
            <w:tcW w:w="5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1879B5">
              <w:rPr>
                <w:b/>
                <w:bCs/>
                <w:sz w:val="20"/>
                <w:lang w:eastAsia="en-US"/>
              </w:rPr>
              <w:t>Závazné ukazatele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6F59" w:rsidRPr="001879B5" w:rsidRDefault="009D6F59" w:rsidP="00EE624A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1879B5">
              <w:rPr>
                <w:b/>
                <w:bCs/>
                <w:sz w:val="20"/>
                <w:lang w:eastAsia="en-US"/>
              </w:rPr>
              <w:t xml:space="preserve">Schválený </w:t>
            </w:r>
            <w:proofErr w:type="gramStart"/>
            <w:r w:rsidRPr="001879B5">
              <w:rPr>
                <w:b/>
                <w:bCs/>
                <w:sz w:val="20"/>
                <w:lang w:eastAsia="en-US"/>
              </w:rPr>
              <w:t>rozpočet  201</w:t>
            </w:r>
            <w:r w:rsidR="00EE624A">
              <w:rPr>
                <w:b/>
                <w:bCs/>
                <w:sz w:val="20"/>
                <w:lang w:eastAsia="en-US"/>
              </w:rPr>
              <w:t>8</w:t>
            </w:r>
            <w:proofErr w:type="gramEnd"/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6F59" w:rsidRPr="001879B5" w:rsidRDefault="009D6F59" w:rsidP="00EE624A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1879B5">
              <w:rPr>
                <w:b/>
                <w:bCs/>
                <w:sz w:val="20"/>
                <w:lang w:eastAsia="en-US"/>
              </w:rPr>
              <w:t>Skutečnost k</w:t>
            </w:r>
            <w:r>
              <w:rPr>
                <w:b/>
                <w:bCs/>
                <w:sz w:val="20"/>
                <w:lang w:eastAsia="en-US"/>
              </w:rPr>
              <w:t> </w:t>
            </w:r>
            <w:proofErr w:type="gramStart"/>
            <w:r w:rsidRPr="001879B5">
              <w:rPr>
                <w:b/>
                <w:bCs/>
                <w:sz w:val="20"/>
                <w:lang w:eastAsia="en-US"/>
              </w:rPr>
              <w:t>31.12.</w:t>
            </w:r>
            <w:r>
              <w:rPr>
                <w:b/>
                <w:bCs/>
                <w:sz w:val="20"/>
                <w:lang w:eastAsia="en-US"/>
              </w:rPr>
              <w:t xml:space="preserve"> </w:t>
            </w:r>
            <w:r w:rsidRPr="001879B5">
              <w:rPr>
                <w:b/>
                <w:bCs/>
                <w:sz w:val="20"/>
                <w:lang w:eastAsia="en-US"/>
              </w:rPr>
              <w:t>201</w:t>
            </w:r>
            <w:r w:rsidR="00EE624A">
              <w:rPr>
                <w:b/>
                <w:bCs/>
                <w:sz w:val="20"/>
                <w:lang w:eastAsia="en-US"/>
              </w:rPr>
              <w:t>8</w:t>
            </w:r>
            <w:proofErr w:type="gramEnd"/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1879B5">
              <w:rPr>
                <w:b/>
                <w:bCs/>
                <w:sz w:val="20"/>
                <w:lang w:eastAsia="en-US"/>
              </w:rPr>
              <w:t>Porovnání Skut/SR      v %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1</w:t>
            </w:r>
          </w:p>
        </w:tc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neinvestiční příspěvek na odpisy dlouhodobého majetku kraje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E9271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E9271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 xml:space="preserve">neinvestiční příspěvek na provoz organizace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E9271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E9271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2412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investiční dotace z rozpočtu kraje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4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limit prostředků na platy / podíl mimotarifních složek platu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E9271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E9271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8139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E9271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5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použití prostředků rezervního fondu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E9271C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  <w:r w:rsidR="00E9271C">
              <w:rPr>
                <w:sz w:val="20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6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 xml:space="preserve">použití prostředků </w:t>
            </w:r>
            <w:proofErr w:type="spellStart"/>
            <w:r w:rsidRPr="001879B5">
              <w:rPr>
                <w:sz w:val="20"/>
                <w:lang w:eastAsia="en-US"/>
              </w:rPr>
              <w:t>invest</w:t>
            </w:r>
            <w:proofErr w:type="spellEnd"/>
            <w:r w:rsidRPr="001879B5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 xml:space="preserve"> </w:t>
            </w:r>
            <w:r w:rsidRPr="001879B5">
              <w:rPr>
                <w:sz w:val="20"/>
                <w:lang w:eastAsia="en-US"/>
              </w:rPr>
              <w:t>fondu na opravy a údržbu nemovitého majetku kraje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E9271C" w:rsidP="008B2A3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  <w:r w:rsidR="008B2A31">
              <w:rPr>
                <w:sz w:val="20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7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použití prostředků fondu odměn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8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limit výdajů na pohoštění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1879B5" w:rsidRDefault="00E9271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E9271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</w:t>
            </w:r>
          </w:p>
        </w:tc>
      </w:tr>
      <w:tr w:rsidR="009D6F59" w:rsidRPr="001879B5" w:rsidTr="001152A4">
        <w:trPr>
          <w:trHeight w:val="2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9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 xml:space="preserve">počet zaměstnanců organizace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Pr="002474D7" w:rsidRDefault="009D6F59" w:rsidP="00F5713C">
            <w:pPr>
              <w:spacing w:line="276" w:lineRule="auto"/>
              <w:jc w:val="right"/>
              <w:rPr>
                <w:color w:val="000000" w:themeColor="text1"/>
                <w:sz w:val="20"/>
                <w:lang w:eastAsia="en-US"/>
              </w:rPr>
            </w:pPr>
            <w:r w:rsidRPr="002474D7">
              <w:rPr>
                <w:color w:val="000000" w:themeColor="text1"/>
                <w:sz w:val="20"/>
                <w:lang w:eastAsia="en-US"/>
              </w:rPr>
              <w:t>2</w:t>
            </w:r>
            <w:r w:rsidR="00F5713C" w:rsidRPr="002474D7">
              <w:rPr>
                <w:color w:val="000000" w:themeColor="text1"/>
                <w:sz w:val="20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F59" w:rsidRPr="002474D7" w:rsidRDefault="000830A8" w:rsidP="001152A4">
            <w:pPr>
              <w:spacing w:line="276" w:lineRule="auto"/>
              <w:jc w:val="right"/>
              <w:rPr>
                <w:color w:val="000000" w:themeColor="text1"/>
                <w:sz w:val="20"/>
                <w:lang w:eastAsia="en-US"/>
              </w:rPr>
            </w:pPr>
            <w:r w:rsidRPr="002474D7">
              <w:rPr>
                <w:color w:val="000000" w:themeColor="text1"/>
                <w:sz w:val="20"/>
                <w:lang w:eastAsia="en-US"/>
              </w:rPr>
              <w:t>24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6F59" w:rsidRPr="002474D7" w:rsidRDefault="000830A8" w:rsidP="001152A4">
            <w:pPr>
              <w:spacing w:line="276" w:lineRule="auto"/>
              <w:jc w:val="right"/>
              <w:rPr>
                <w:color w:val="000000" w:themeColor="text1"/>
                <w:sz w:val="20"/>
                <w:lang w:eastAsia="en-US"/>
              </w:rPr>
            </w:pPr>
            <w:r w:rsidRPr="002474D7">
              <w:rPr>
                <w:color w:val="000000" w:themeColor="text1"/>
                <w:sz w:val="20"/>
                <w:lang w:eastAsia="en-US"/>
              </w:rPr>
              <w:t>96</w:t>
            </w:r>
          </w:p>
        </w:tc>
      </w:tr>
      <w:tr w:rsidR="009D6F59" w:rsidRPr="001879B5" w:rsidTr="001152A4">
        <w:trPr>
          <w:trHeight w:val="27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10</w:t>
            </w:r>
          </w:p>
        </w:tc>
        <w:tc>
          <w:tcPr>
            <w:tcW w:w="55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výsledek hospodaření organizace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Pr="001879B5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</w:p>
        </w:tc>
      </w:tr>
    </w:tbl>
    <w:p w:rsidR="009D6F59" w:rsidRDefault="009D6F59" w:rsidP="009D6F59">
      <w:pPr>
        <w:jc w:val="both"/>
      </w:pPr>
    </w:p>
    <w:p w:rsidR="00E9271C" w:rsidRDefault="009D6F59" w:rsidP="009D6F59">
      <w:pPr>
        <w:jc w:val="both"/>
        <w:rPr>
          <w:b/>
        </w:rPr>
      </w:pPr>
      <w:r>
        <w:rPr>
          <w:b/>
        </w:rPr>
        <w:t xml:space="preserve">Komentář k závazným ukazatelům: </w:t>
      </w:r>
    </w:p>
    <w:p w:rsidR="009D6F59" w:rsidRDefault="00E9271C" w:rsidP="00397572">
      <w:pPr>
        <w:jc w:val="both"/>
      </w:pPr>
      <w:r>
        <w:t>Z</w:t>
      </w:r>
      <w:r w:rsidR="009D6F59">
        <w:t>ávazné ukazatele byly dodržovány. Neinvestiční příspěv</w:t>
      </w:r>
      <w:r w:rsidR="00EE624A">
        <w:t xml:space="preserve">ek na provoz </w:t>
      </w:r>
      <w:r w:rsidR="00344DFA">
        <w:t xml:space="preserve">a odpisy </w:t>
      </w:r>
      <w:r w:rsidR="009D6F59">
        <w:t>od KÚ byl zcela vyčerpán</w:t>
      </w:r>
      <w:r w:rsidR="00344DFA">
        <w:t xml:space="preserve">. </w:t>
      </w:r>
      <w:r w:rsidR="00EE624A">
        <w:t>Příspěvek zřizovatele</w:t>
      </w:r>
      <w:r w:rsidR="00344DFA">
        <w:t xml:space="preserve"> na poskytování služeb v obecném hospodářském zájmu z rozpočtu Libereckého kraje z finančních prostředků MPSV byl vyčerpán.</w:t>
      </w:r>
    </w:p>
    <w:p w:rsidR="009D6F59" w:rsidRDefault="009D6F59" w:rsidP="00397572">
      <w:pPr>
        <w:jc w:val="both"/>
      </w:pPr>
    </w:p>
    <w:p w:rsidR="009D6F59" w:rsidRDefault="009D6F59" w:rsidP="00BE7967">
      <w:pPr>
        <w:spacing w:after="160" w:line="259" w:lineRule="auto"/>
        <w:jc w:val="both"/>
        <w:rPr>
          <w:b/>
          <w:u w:val="single"/>
        </w:rPr>
      </w:pPr>
      <w:r>
        <w:rPr>
          <w:b/>
        </w:rPr>
        <w:br w:type="page"/>
      </w:r>
      <w:r>
        <w:rPr>
          <w:b/>
        </w:rPr>
        <w:lastRenderedPageBreak/>
        <w:t xml:space="preserve">4.  </w:t>
      </w:r>
      <w:r>
        <w:rPr>
          <w:b/>
          <w:u w:val="single"/>
        </w:rPr>
        <w:t xml:space="preserve">Zhodnocení čerpání účelových příspěvků a dotací, návratných finančních výpomocí a  </w:t>
      </w:r>
    </w:p>
    <w:p w:rsidR="009D6F59" w:rsidRDefault="009D6F59" w:rsidP="00BE7967">
      <w:pPr>
        <w:jc w:val="both"/>
        <w:rPr>
          <w:b/>
          <w:u w:val="single"/>
        </w:rPr>
      </w:pPr>
      <w:r>
        <w:rPr>
          <w:b/>
        </w:rPr>
        <w:t xml:space="preserve">     </w:t>
      </w:r>
      <w:r>
        <w:rPr>
          <w:b/>
          <w:u w:val="single"/>
        </w:rPr>
        <w:t>jejich vypořádání</w:t>
      </w:r>
    </w:p>
    <w:p w:rsidR="009D6F59" w:rsidRDefault="009D6F59" w:rsidP="009D6F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13"/>
        <w:gridCol w:w="1133"/>
        <w:gridCol w:w="71"/>
        <w:gridCol w:w="17"/>
        <w:gridCol w:w="1183"/>
        <w:gridCol w:w="30"/>
        <w:gridCol w:w="396"/>
        <w:gridCol w:w="893"/>
        <w:gridCol w:w="82"/>
        <w:gridCol w:w="1236"/>
        <w:gridCol w:w="956"/>
      </w:tblGrid>
      <w:tr w:rsidR="009D6F59" w:rsidRPr="001879B5" w:rsidTr="00712E26">
        <w:trPr>
          <w:cantSplit/>
          <w:trHeight w:val="570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6A51B0" w:rsidRDefault="009D6F59" w:rsidP="001152A4">
            <w:pPr>
              <w:pStyle w:val="Nadpis2"/>
              <w:spacing w:line="276" w:lineRule="auto"/>
              <w:jc w:val="center"/>
              <w:rPr>
                <w:sz w:val="20"/>
                <w:u w:val="none"/>
                <w:lang w:eastAsia="en-US"/>
              </w:rPr>
            </w:pPr>
            <w:r w:rsidRPr="006A51B0">
              <w:rPr>
                <w:sz w:val="20"/>
                <w:u w:val="none"/>
                <w:lang w:eastAsia="en-US"/>
              </w:rPr>
              <w:t>Ukazatel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Schválený</w:t>
            </w:r>
          </w:p>
          <w:p w:rsidR="009D6F59" w:rsidRPr="001879B5" w:rsidRDefault="009D6F59" w:rsidP="000830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rozpočet 201</w:t>
            </w:r>
            <w:r w:rsidR="000830A8">
              <w:rPr>
                <w:b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Rozpočet</w:t>
            </w:r>
          </w:p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po změnách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Poskytnuto</w:t>
            </w:r>
          </w:p>
          <w:p w:rsidR="009D6F59" w:rsidRPr="001879B5" w:rsidRDefault="009D6F59" w:rsidP="000830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k 31.</w:t>
            </w:r>
            <w:r>
              <w:rPr>
                <w:b/>
                <w:color w:val="000000"/>
                <w:sz w:val="20"/>
                <w:lang w:eastAsia="en-US"/>
              </w:rPr>
              <w:t xml:space="preserve"> </w:t>
            </w:r>
            <w:r w:rsidRPr="001879B5">
              <w:rPr>
                <w:b/>
                <w:color w:val="000000"/>
                <w:sz w:val="20"/>
                <w:lang w:eastAsia="en-US"/>
              </w:rPr>
              <w:t>12.</w:t>
            </w:r>
            <w:r>
              <w:rPr>
                <w:b/>
                <w:color w:val="000000"/>
                <w:sz w:val="20"/>
                <w:lang w:eastAsia="en-US"/>
              </w:rPr>
              <w:t xml:space="preserve"> </w:t>
            </w:r>
            <w:r w:rsidRPr="001879B5">
              <w:rPr>
                <w:b/>
                <w:color w:val="000000"/>
                <w:sz w:val="20"/>
                <w:lang w:eastAsia="en-US"/>
              </w:rPr>
              <w:t>201</w:t>
            </w:r>
            <w:r w:rsidR="000830A8">
              <w:rPr>
                <w:b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 xml:space="preserve">Použito </w:t>
            </w:r>
          </w:p>
          <w:p w:rsidR="009D6F59" w:rsidRPr="001879B5" w:rsidRDefault="009D6F59" w:rsidP="000830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k 31.</w:t>
            </w:r>
            <w:r>
              <w:rPr>
                <w:b/>
                <w:color w:val="000000"/>
                <w:sz w:val="20"/>
                <w:lang w:eastAsia="en-US"/>
              </w:rPr>
              <w:t xml:space="preserve"> </w:t>
            </w:r>
            <w:r w:rsidRPr="001879B5">
              <w:rPr>
                <w:b/>
                <w:color w:val="000000"/>
                <w:sz w:val="20"/>
                <w:lang w:eastAsia="en-US"/>
              </w:rPr>
              <w:t>12.</w:t>
            </w:r>
            <w:r>
              <w:rPr>
                <w:b/>
                <w:color w:val="000000"/>
                <w:sz w:val="20"/>
                <w:lang w:eastAsia="en-US"/>
              </w:rPr>
              <w:t xml:space="preserve"> </w:t>
            </w:r>
            <w:r w:rsidRPr="001879B5">
              <w:rPr>
                <w:b/>
                <w:color w:val="000000"/>
                <w:sz w:val="20"/>
                <w:lang w:eastAsia="en-US"/>
              </w:rPr>
              <w:t>201</w:t>
            </w:r>
            <w:r w:rsidR="000830A8">
              <w:rPr>
                <w:b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Vratka</w:t>
            </w:r>
          </w:p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9D6F59" w:rsidRPr="001879B5" w:rsidTr="00712E26">
        <w:trPr>
          <w:jc w:val="center"/>
        </w:trPr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A</w:t>
            </w:r>
          </w:p>
        </w:tc>
        <w:tc>
          <w:tcPr>
            <w:tcW w:w="122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40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5</w:t>
            </w:r>
          </w:p>
        </w:tc>
      </w:tr>
      <w:tr w:rsidR="009D6F59" w:rsidRPr="001879B5" w:rsidTr="00712E26">
        <w:trPr>
          <w:trHeight w:val="529"/>
          <w:jc w:val="center"/>
        </w:trPr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1. Neinvestiční příspěvek od zřizovatele celkem</w:t>
            </w:r>
          </w:p>
        </w:tc>
        <w:tc>
          <w:tcPr>
            <w:tcW w:w="1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423D03" w:rsidP="00423D0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1859068</w:t>
            </w:r>
          </w:p>
        </w:tc>
        <w:tc>
          <w:tcPr>
            <w:tcW w:w="12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423D03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2442400</w:t>
            </w:r>
          </w:p>
        </w:tc>
        <w:tc>
          <w:tcPr>
            <w:tcW w:w="14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423D03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2597796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423D03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2597796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712E26">
        <w:trPr>
          <w:cantSplit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v tom:</w:t>
            </w:r>
          </w:p>
        </w:tc>
        <w:tc>
          <w:tcPr>
            <w:tcW w:w="6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9D6F59" w:rsidRPr="001879B5" w:rsidTr="00712E26">
        <w:trPr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- příspěvek na provoz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423D03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1828680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423D03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2412012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423D03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2412012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423D03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2412012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712E26">
        <w:trPr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 xml:space="preserve">- ostatní účelové příspěvky na odpisy    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423D0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303</w:t>
            </w:r>
            <w:r w:rsidR="00423D03">
              <w:rPr>
                <w:color w:val="000000"/>
                <w:sz w:val="20"/>
                <w:lang w:eastAsia="en-US"/>
              </w:rPr>
              <w:t>88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423D03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30388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423D03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30388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423D03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30388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</w:tr>
      <w:tr w:rsidR="00127671" w:rsidRPr="001879B5" w:rsidTr="00712E26">
        <w:trPr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Pr="00423D03" w:rsidRDefault="00423D03" w:rsidP="001152A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neinvestiční účelový příspěvek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Default="00423D03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Default="00423D03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Default="00423D03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155396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Default="00423D03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155396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Pr="001879B5" w:rsidRDefault="00423D03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</w:tr>
      <w:tr w:rsidR="00127671" w:rsidRPr="001879B5" w:rsidTr="00712E26">
        <w:trPr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Pr="001879B5" w:rsidRDefault="00127671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Default="0012767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Default="0012767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Default="0012767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Default="0012767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1" w:rsidRPr="001879B5" w:rsidRDefault="00127671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9D6F59" w:rsidRPr="001879B5" w:rsidTr="00712E26">
        <w:trPr>
          <w:cantSplit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9D6F59" w:rsidRPr="001879B5" w:rsidTr="00712E26">
        <w:trPr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2. Příspěvky na investice od zřizovatele celkem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712E26">
        <w:trPr>
          <w:cantSplit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v tom: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9D6F59" w:rsidRPr="001879B5" w:rsidTr="00712E26">
        <w:trPr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 xml:space="preserve"> (jednotlivé tituly)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9D6F59" w:rsidRPr="001879B5" w:rsidTr="00712E26">
        <w:trPr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9D6F59" w:rsidRPr="001879B5" w:rsidTr="00712E26">
        <w:trPr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proofErr w:type="gramStart"/>
            <w:r w:rsidRPr="001879B5">
              <w:rPr>
                <w:b/>
                <w:color w:val="000000"/>
                <w:sz w:val="20"/>
                <w:lang w:eastAsia="en-US"/>
              </w:rPr>
              <w:t>A)   c e l k e m  1.+ 2.</w:t>
            </w:r>
            <w:proofErr w:type="gramEnd"/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423D03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1859068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712E26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2442400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712E26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2597796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712E26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2597796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712E26">
        <w:trPr>
          <w:cantSplit/>
          <w:jc w:val="center"/>
        </w:trPr>
        <w:tc>
          <w:tcPr>
            <w:tcW w:w="42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 xml:space="preserve">                                B</w:t>
            </w:r>
          </w:p>
        </w:tc>
        <w:tc>
          <w:tcPr>
            <w:tcW w:w="169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9D6F59" w:rsidRPr="001879B5" w:rsidTr="00712E26">
        <w:trPr>
          <w:cantSplit/>
          <w:jc w:val="center"/>
        </w:trPr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 xml:space="preserve">3. Příspěvky/dotace od jiných poskytovatelů   </w:t>
            </w:r>
            <w:r w:rsidRPr="001879B5">
              <w:rPr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712E26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7636640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A715FB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7681308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A715FB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7770308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A715FB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7770308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0</w:t>
            </w:r>
          </w:p>
        </w:tc>
      </w:tr>
      <w:tr w:rsidR="009D6F59" w:rsidRPr="001879B5" w:rsidTr="00712E26">
        <w:trPr>
          <w:cantSplit/>
          <w:trHeight w:val="232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-dle jednotlivých poskytovatelů  MPSV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712E26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7566640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712E26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7616308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712E26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7616308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712E26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7616308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</w:t>
            </w:r>
          </w:p>
        </w:tc>
      </w:tr>
      <w:tr w:rsidR="009D6F59" w:rsidRPr="001879B5" w:rsidTr="00712E26">
        <w:trPr>
          <w:cantSplit/>
          <w:trHeight w:val="232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8F356C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8F356C">
              <w:rPr>
                <w:sz w:val="20"/>
                <w:lang w:eastAsia="en-US"/>
              </w:rPr>
              <w:t>-dle jednotlivých titulů - obce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8F356C" w:rsidRDefault="00712E26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8F356C" w:rsidRDefault="00712E26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65000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8F356C" w:rsidRDefault="00712E26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8F356C" w:rsidRDefault="00712E26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F94EA2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7030A0"/>
                <w:sz w:val="20"/>
                <w:highlight w:val="yellow"/>
                <w:lang w:eastAsia="en-US"/>
              </w:rPr>
            </w:pPr>
          </w:p>
        </w:tc>
      </w:tr>
      <w:tr w:rsidR="009D6F59" w:rsidRPr="001879B5" w:rsidTr="00712E26">
        <w:trPr>
          <w:cantSplit/>
          <w:trHeight w:val="232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 xml:space="preserve">-dle jednotlivých titulů – </w:t>
            </w:r>
            <w:proofErr w:type="spellStart"/>
            <w:proofErr w:type="gramStart"/>
            <w:r w:rsidRPr="001879B5">
              <w:rPr>
                <w:color w:val="000000"/>
                <w:sz w:val="20"/>
                <w:lang w:eastAsia="en-US"/>
              </w:rPr>
              <w:t>fin</w:t>
            </w:r>
            <w:proofErr w:type="gramEnd"/>
            <w:r w:rsidRPr="001879B5">
              <w:rPr>
                <w:color w:val="000000"/>
                <w:sz w:val="20"/>
                <w:lang w:eastAsia="en-US"/>
              </w:rPr>
              <w:t>.</w:t>
            </w:r>
            <w:proofErr w:type="gramStart"/>
            <w:r w:rsidRPr="001879B5">
              <w:rPr>
                <w:color w:val="000000"/>
                <w:sz w:val="20"/>
                <w:lang w:eastAsia="en-US"/>
              </w:rPr>
              <w:t>dary</w:t>
            </w:r>
            <w:proofErr w:type="spellEnd"/>
            <w:proofErr w:type="gramEnd"/>
            <w:r w:rsidRPr="001879B5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879B5">
              <w:rPr>
                <w:color w:val="000000"/>
                <w:sz w:val="20"/>
                <w:lang w:eastAsia="en-US"/>
              </w:rPr>
              <w:t>neúčel</w:t>
            </w:r>
            <w:proofErr w:type="spellEnd"/>
            <w:r w:rsidRPr="001879B5">
              <w:rPr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712E26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712E26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712E26">
        <w:trPr>
          <w:cantSplit/>
          <w:trHeight w:val="232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-1"/>
              <w:rPr>
                <w:color w:val="000000"/>
                <w:sz w:val="20"/>
              </w:rPr>
            </w:pPr>
            <w:r w:rsidRPr="001879B5">
              <w:rPr>
                <w:color w:val="000000"/>
                <w:sz w:val="20"/>
              </w:rPr>
              <w:t xml:space="preserve">-dle jednotlivých titulů – </w:t>
            </w:r>
            <w:proofErr w:type="spellStart"/>
            <w:proofErr w:type="gramStart"/>
            <w:r w:rsidRPr="001879B5">
              <w:rPr>
                <w:color w:val="000000"/>
                <w:sz w:val="20"/>
              </w:rPr>
              <w:t>fin</w:t>
            </w:r>
            <w:proofErr w:type="gramEnd"/>
            <w:r w:rsidRPr="001879B5">
              <w:rPr>
                <w:color w:val="000000"/>
                <w:sz w:val="20"/>
              </w:rPr>
              <w:t>.</w:t>
            </w:r>
            <w:proofErr w:type="gramStart"/>
            <w:r w:rsidRPr="001879B5">
              <w:rPr>
                <w:color w:val="000000"/>
                <w:sz w:val="20"/>
              </w:rPr>
              <w:t>dary</w:t>
            </w:r>
            <w:proofErr w:type="spellEnd"/>
            <w:proofErr w:type="gramEnd"/>
            <w:r w:rsidRPr="001879B5">
              <w:rPr>
                <w:color w:val="000000"/>
                <w:sz w:val="20"/>
              </w:rPr>
              <w:t xml:space="preserve"> účel.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712E26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31000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712E26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31000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9D6F59" w:rsidRPr="001879B5" w:rsidTr="00712E26">
        <w:trPr>
          <w:cantSplit/>
          <w:trHeight w:val="423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4. Příspěvky/dotace od jiných poskytovatelů na investice celkem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712E26">
        <w:trPr>
          <w:cantSplit/>
          <w:trHeight w:val="278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- dle jednotlivých poskytovatelů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712E26">
        <w:trPr>
          <w:cantSplit/>
          <w:trHeight w:val="278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- dle jednotlivých titulů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712E26">
        <w:trPr>
          <w:cantSplit/>
          <w:jc w:val="center"/>
        </w:trPr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3"/>
              <w:spacing w:line="276" w:lineRule="auto"/>
              <w:jc w:val="left"/>
              <w:rPr>
                <w:sz w:val="20"/>
                <w:lang w:eastAsia="en-US"/>
              </w:rPr>
            </w:pPr>
            <w:proofErr w:type="gramStart"/>
            <w:r w:rsidRPr="006A51B0">
              <w:rPr>
                <w:sz w:val="20"/>
                <w:lang w:eastAsia="en-US"/>
              </w:rPr>
              <w:t>B)  c e l k e m  3.</w:t>
            </w:r>
            <w:proofErr w:type="gramEnd"/>
            <w:r w:rsidRPr="006A51B0">
              <w:rPr>
                <w:sz w:val="20"/>
                <w:lang w:eastAsia="en-US"/>
              </w:rPr>
              <w:t xml:space="preserve"> + 4.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A715FB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7636640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A715FB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7681308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A715FB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7770308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A715FB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7770308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0</w:t>
            </w:r>
          </w:p>
        </w:tc>
      </w:tr>
      <w:tr w:rsidR="009D6F59" w:rsidRPr="001879B5" w:rsidTr="00712E26">
        <w:trPr>
          <w:cantSplit/>
          <w:trHeight w:val="312"/>
          <w:jc w:val="center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9D6F59" w:rsidRPr="001879B5" w:rsidTr="00712E26">
        <w:trPr>
          <w:cantSplit/>
          <w:trHeight w:val="312"/>
          <w:jc w:val="center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 xml:space="preserve">5. Dotace ISPROFIN </w:t>
            </w:r>
            <w:proofErr w:type="gramStart"/>
            <w:r w:rsidRPr="001879B5">
              <w:rPr>
                <w:b/>
                <w:color w:val="000000"/>
                <w:sz w:val="20"/>
                <w:lang w:eastAsia="en-US"/>
              </w:rPr>
              <w:t>investiční  celkem</w:t>
            </w:r>
            <w:proofErr w:type="gramEnd"/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712E26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 xml:space="preserve">       - dle jednotlivých titulů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9D6F59" w:rsidRPr="001879B5" w:rsidTr="00712E26">
        <w:trPr>
          <w:cantSplit/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6. Dotace ISPROFIN neinvestiční celkem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712E26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- dle jednotlivých titulů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9D6F59" w:rsidRPr="001879B5" w:rsidTr="00712E26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9D6F59" w:rsidRPr="001879B5" w:rsidTr="00712E26">
        <w:trPr>
          <w:cantSplit/>
          <w:jc w:val="center"/>
        </w:trPr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3"/>
              <w:spacing w:line="276" w:lineRule="auto"/>
              <w:jc w:val="left"/>
              <w:rPr>
                <w:sz w:val="20"/>
                <w:lang w:eastAsia="en-US"/>
              </w:rPr>
            </w:pPr>
            <w:proofErr w:type="gramStart"/>
            <w:r w:rsidRPr="006A51B0">
              <w:rPr>
                <w:sz w:val="20"/>
                <w:lang w:eastAsia="en-US"/>
              </w:rPr>
              <w:t>C)    c e l k e m   5.</w:t>
            </w:r>
            <w:proofErr w:type="gramEnd"/>
            <w:r w:rsidRPr="006A51B0">
              <w:rPr>
                <w:sz w:val="20"/>
                <w:lang w:eastAsia="en-US"/>
              </w:rPr>
              <w:t xml:space="preserve"> + 6.                           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3"/>
              <w:spacing w:line="276" w:lineRule="auto"/>
              <w:jc w:val="right"/>
              <w:rPr>
                <w:sz w:val="20"/>
                <w:lang w:eastAsia="en-US"/>
              </w:rPr>
            </w:pPr>
            <w:r w:rsidRPr="006A51B0">
              <w:rPr>
                <w:sz w:val="20"/>
                <w:lang w:eastAsia="en-US"/>
              </w:rPr>
              <w:t xml:space="preserve">0 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3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6A51B0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 xml:space="preserve"> 0                                                                                                  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lang w:eastAsia="en-US"/>
              </w:rPr>
            </w:pPr>
            <w:r w:rsidRPr="001879B5">
              <w:rPr>
                <w:color w:val="000000"/>
                <w:sz w:val="20"/>
                <w:lang w:eastAsia="en-US"/>
              </w:rPr>
              <w:t>0</w:t>
            </w:r>
          </w:p>
        </w:tc>
      </w:tr>
      <w:tr w:rsidR="009D6F59" w:rsidRPr="001879B5" w:rsidTr="00712E26">
        <w:trPr>
          <w:jc w:val="center"/>
        </w:trPr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2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9D6F59" w:rsidRPr="001879B5" w:rsidTr="00712E26">
        <w:trPr>
          <w:jc w:val="center"/>
        </w:trPr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proofErr w:type="gramStart"/>
            <w:r w:rsidRPr="001879B5">
              <w:rPr>
                <w:b/>
                <w:color w:val="000000"/>
                <w:sz w:val="20"/>
                <w:lang w:eastAsia="en-US"/>
              </w:rPr>
              <w:t>D)  CELKEM</w:t>
            </w:r>
            <w:proofErr w:type="gramEnd"/>
            <w:r w:rsidRPr="001879B5">
              <w:rPr>
                <w:b/>
                <w:color w:val="000000"/>
                <w:sz w:val="20"/>
                <w:lang w:eastAsia="en-US"/>
              </w:rPr>
              <w:t xml:space="preserve">  A)+B)+C)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A715FB" w:rsidP="001152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9495708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A715FB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10123708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A715FB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10368104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A715FB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10368104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 w:rsidRPr="001879B5">
              <w:rPr>
                <w:b/>
                <w:color w:val="000000"/>
                <w:sz w:val="20"/>
                <w:lang w:eastAsia="en-US"/>
              </w:rPr>
              <w:t>0</w:t>
            </w:r>
          </w:p>
        </w:tc>
      </w:tr>
    </w:tbl>
    <w:p w:rsidR="000830A8" w:rsidRDefault="009D6F59" w:rsidP="009D6F59">
      <w:pPr>
        <w:jc w:val="both"/>
        <w:rPr>
          <w:b/>
        </w:rPr>
      </w:pPr>
      <w:r>
        <w:rPr>
          <w:b/>
        </w:rPr>
        <w:t xml:space="preserve">Komentář: </w:t>
      </w:r>
    </w:p>
    <w:p w:rsidR="009D6F59" w:rsidRDefault="000830A8" w:rsidP="009D6F59">
      <w:pPr>
        <w:jc w:val="both"/>
      </w:pPr>
      <w:r>
        <w:t>V</w:t>
      </w:r>
      <w:r w:rsidR="009D6F59">
        <w:t>šechny prostředky byly vyčerpány beze zbytku.</w:t>
      </w:r>
    </w:p>
    <w:p w:rsidR="009D6F59" w:rsidRDefault="009D6F59" w:rsidP="005C7EF8">
      <w:pPr>
        <w:numPr>
          <w:ilvl w:val="0"/>
          <w:numId w:val="2"/>
        </w:numPr>
        <w:jc w:val="both"/>
        <w:rPr>
          <w:u w:val="single"/>
        </w:rPr>
      </w:pPr>
      <w:bookmarkStart w:id="0" w:name="OLE_LINK4"/>
      <w:bookmarkStart w:id="1" w:name="OLE_LINK3"/>
      <w:r>
        <w:rPr>
          <w:b/>
          <w:u w:val="single"/>
        </w:rPr>
        <w:lastRenderedPageBreak/>
        <w:t>Vyhodnocení doplňkové činnosti a ostatních mimorozpočtových zdrojů</w:t>
      </w:r>
      <w:r>
        <w:rPr>
          <w:u w:val="single"/>
        </w:rPr>
        <w:t xml:space="preserve"> </w:t>
      </w:r>
      <w:bookmarkEnd w:id="0"/>
      <w:bookmarkEnd w:id="1"/>
    </w:p>
    <w:p w:rsidR="009D6F59" w:rsidRDefault="009D6F59" w:rsidP="009D6F59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0"/>
        <w:gridCol w:w="1985"/>
        <w:gridCol w:w="1842"/>
        <w:gridCol w:w="1809"/>
      </w:tblGrid>
      <w:tr w:rsidR="009D6F59" w:rsidRPr="001879B5" w:rsidTr="001152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Doplňková činnost – typy činností: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Náklady</w:t>
            </w:r>
          </w:p>
          <w:p w:rsidR="009D6F59" w:rsidRPr="001879B5" w:rsidRDefault="009D6F59" w:rsidP="00A715F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201</w:t>
            </w:r>
            <w:r w:rsidR="00A715FB">
              <w:rPr>
                <w:b/>
                <w:sz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Výnosy</w:t>
            </w:r>
          </w:p>
          <w:p w:rsidR="009D6F59" w:rsidRPr="001879B5" w:rsidRDefault="009D6F59" w:rsidP="00A715F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201</w:t>
            </w:r>
            <w:r w:rsidR="00A715FB">
              <w:rPr>
                <w:b/>
                <w:sz w:val="20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Hospodářský výsledek</w:t>
            </w:r>
          </w:p>
        </w:tc>
      </w:tr>
      <w:tr w:rsidR="009D6F59" w:rsidRPr="001879B5" w:rsidTr="001152A4">
        <w:tc>
          <w:tcPr>
            <w:tcW w:w="3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 xml:space="preserve">Pronájem pro služby CHB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</w:t>
            </w:r>
          </w:p>
        </w:tc>
      </w:tr>
      <w:tr w:rsidR="009D6F59" w:rsidRPr="001879B5" w:rsidTr="001152A4">
        <w:tc>
          <w:tcPr>
            <w:tcW w:w="3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1879B5">
              <w:rPr>
                <w:b/>
                <w:sz w:val="20"/>
                <w:lang w:eastAsia="en-US"/>
              </w:rPr>
              <w:t>Celkem doplňková činnost 2015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</w:t>
            </w:r>
          </w:p>
        </w:tc>
      </w:tr>
    </w:tbl>
    <w:p w:rsidR="009D6F59" w:rsidRDefault="009D6F59" w:rsidP="009D6F59">
      <w:pPr>
        <w:jc w:val="both"/>
        <w:rPr>
          <w:b/>
          <w:szCs w:val="24"/>
        </w:rPr>
      </w:pPr>
    </w:p>
    <w:p w:rsidR="000830A8" w:rsidRDefault="009D6F59" w:rsidP="009D6F59">
      <w:pPr>
        <w:jc w:val="both"/>
        <w:rPr>
          <w:b/>
          <w:szCs w:val="24"/>
        </w:rPr>
      </w:pPr>
      <w:r>
        <w:rPr>
          <w:b/>
          <w:szCs w:val="24"/>
        </w:rPr>
        <w:t xml:space="preserve">Komentář k doplňkové činnosti: </w:t>
      </w:r>
    </w:p>
    <w:p w:rsidR="009D6F59" w:rsidRDefault="000830A8" w:rsidP="009D6F59">
      <w:pPr>
        <w:jc w:val="both"/>
        <w:rPr>
          <w:szCs w:val="24"/>
        </w:rPr>
      </w:pPr>
      <w:r>
        <w:rPr>
          <w:szCs w:val="24"/>
        </w:rPr>
        <w:t>O</w:t>
      </w:r>
      <w:r w:rsidR="009D6F59">
        <w:rPr>
          <w:szCs w:val="24"/>
        </w:rPr>
        <w:t>rganizace v roce 201</w:t>
      </w:r>
      <w:r w:rsidR="00A715FB">
        <w:rPr>
          <w:szCs w:val="24"/>
        </w:rPr>
        <w:t>8</w:t>
      </w:r>
      <w:r w:rsidR="009D6F59">
        <w:rPr>
          <w:szCs w:val="24"/>
        </w:rPr>
        <w:t xml:space="preserve"> neprovozovala doplňkovou činnost.</w:t>
      </w:r>
    </w:p>
    <w:p w:rsidR="000B250A" w:rsidRDefault="000B250A" w:rsidP="009D6F59">
      <w:pPr>
        <w:jc w:val="both"/>
        <w:rPr>
          <w:szCs w:val="24"/>
        </w:rPr>
      </w:pPr>
    </w:p>
    <w:p w:rsidR="000B250A" w:rsidRDefault="000B250A" w:rsidP="009D6F59">
      <w:pPr>
        <w:jc w:val="both"/>
        <w:rPr>
          <w:szCs w:val="24"/>
        </w:rPr>
      </w:pPr>
    </w:p>
    <w:p w:rsidR="000B250A" w:rsidRDefault="000B250A" w:rsidP="009D6F59">
      <w:pPr>
        <w:jc w:val="both"/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9D6F59" w:rsidRDefault="009D6F59" w:rsidP="00BE7967">
      <w:pPr>
        <w:jc w:val="both"/>
        <w:rPr>
          <w:szCs w:val="24"/>
        </w:rPr>
      </w:pPr>
      <w:r>
        <w:rPr>
          <w:b/>
          <w:szCs w:val="24"/>
        </w:rPr>
        <w:t xml:space="preserve">6.  </w:t>
      </w:r>
      <w:r>
        <w:rPr>
          <w:b/>
          <w:szCs w:val="24"/>
          <w:u w:val="single"/>
        </w:rPr>
        <w:t xml:space="preserve">Vyhodnocení dodržování majetkových práv a povinností </w:t>
      </w:r>
    </w:p>
    <w:p w:rsidR="009D6F59" w:rsidRDefault="009D6F59" w:rsidP="009D6F59">
      <w:pPr>
        <w:rPr>
          <w:szCs w:val="24"/>
          <w:u w:val="single"/>
        </w:rPr>
      </w:pPr>
    </w:p>
    <w:p w:rsidR="009D6F59" w:rsidRDefault="009D6F59" w:rsidP="009D6F59">
      <w:pPr>
        <w:jc w:val="both"/>
      </w:pPr>
      <w:r>
        <w:rPr>
          <w:szCs w:val="24"/>
        </w:rPr>
        <w:t>P</w:t>
      </w:r>
      <w:r>
        <w:t>ři nakládání se svěřeným majetkem bylo postupováno v souladu s platnou legislativou a pokyny zřizovatele.</w:t>
      </w:r>
    </w:p>
    <w:p w:rsidR="000B250A" w:rsidRDefault="000B250A" w:rsidP="009D6F59">
      <w:pPr>
        <w:jc w:val="both"/>
      </w:pPr>
    </w:p>
    <w:p w:rsidR="000B250A" w:rsidRDefault="000B250A" w:rsidP="009D6F59">
      <w:pPr>
        <w:jc w:val="both"/>
      </w:pPr>
    </w:p>
    <w:p w:rsidR="000B250A" w:rsidRDefault="000B250A" w:rsidP="009D6F59">
      <w:pPr>
        <w:jc w:val="both"/>
      </w:pPr>
    </w:p>
    <w:p w:rsidR="009D6F59" w:rsidRPr="001879B5" w:rsidRDefault="009D6F59" w:rsidP="009D6F59">
      <w:pPr>
        <w:jc w:val="both"/>
      </w:pPr>
    </w:p>
    <w:p w:rsidR="009D6F59" w:rsidRDefault="009D6F59" w:rsidP="00BE7967">
      <w:pPr>
        <w:jc w:val="both"/>
        <w:rPr>
          <w:szCs w:val="24"/>
          <w:u w:val="single"/>
        </w:rPr>
      </w:pPr>
      <w:r>
        <w:rPr>
          <w:b/>
          <w:szCs w:val="24"/>
        </w:rPr>
        <w:t xml:space="preserve">7.  </w:t>
      </w:r>
      <w:r>
        <w:rPr>
          <w:b/>
          <w:szCs w:val="24"/>
          <w:u w:val="single"/>
        </w:rPr>
        <w:t>Výsledky inventarizace a vypořádání případných inventarizačních rozdílů</w:t>
      </w:r>
    </w:p>
    <w:p w:rsidR="009D6F59" w:rsidRDefault="009D6F59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  <w:r>
        <w:rPr>
          <w:szCs w:val="24"/>
        </w:rPr>
        <w:t>Termín provedení inventarizace: k 31. 12. 201</w:t>
      </w:r>
      <w:r w:rsidR="00A715FB">
        <w:rPr>
          <w:szCs w:val="24"/>
        </w:rPr>
        <w:t>8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1138"/>
        <w:gridCol w:w="567"/>
        <w:gridCol w:w="988"/>
        <w:gridCol w:w="1422"/>
        <w:gridCol w:w="1413"/>
        <w:gridCol w:w="1276"/>
        <w:gridCol w:w="1418"/>
      </w:tblGrid>
      <w:tr w:rsidR="009D6F59" w:rsidRPr="001879B5" w:rsidTr="001152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sz w:val="20"/>
                <w:lang w:eastAsia="en-US"/>
              </w:rPr>
            </w:pPr>
            <w:r w:rsidRPr="001879B5">
              <w:rPr>
                <w:rFonts w:ascii="Arial" w:hAnsi="Arial"/>
                <w:b/>
                <w:snapToGrid w:val="0"/>
                <w:sz w:val="20"/>
                <w:lang w:eastAsia="en-US"/>
              </w:rPr>
              <w:t>Č. řádku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rFonts w:ascii="Arial" w:hAnsi="Arial"/>
                <w:b/>
                <w:snapToGrid w:val="0"/>
                <w:sz w:val="20"/>
                <w:lang w:eastAsia="en-US"/>
              </w:rPr>
              <w:t>Název majetku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rFonts w:ascii="Arial" w:hAnsi="Arial"/>
                <w:b/>
                <w:snapToGrid w:val="0"/>
                <w:sz w:val="20"/>
                <w:lang w:eastAsia="en-US"/>
              </w:rPr>
              <w:t>SÚ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b/>
                <w:snapToGrid w:val="0"/>
                <w:sz w:val="20"/>
                <w:lang w:eastAsia="en-US"/>
              </w:rPr>
              <w:t xml:space="preserve">Inventura </w:t>
            </w:r>
            <w:r w:rsidRPr="001879B5">
              <w:rPr>
                <w:snapToGrid w:val="0"/>
                <w:sz w:val="20"/>
                <w:lang w:eastAsia="en-US"/>
              </w:rPr>
              <w:t>F / 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rFonts w:ascii="Arial" w:hAnsi="Arial"/>
                <w:b/>
                <w:snapToGrid w:val="0"/>
                <w:sz w:val="20"/>
                <w:lang w:eastAsia="en-US"/>
              </w:rPr>
              <w:t>Stav majetku předaného k hospodaření dle zřizovací listiny v Kč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rFonts w:ascii="Arial" w:hAnsi="Arial"/>
                <w:b/>
                <w:snapToGrid w:val="0"/>
                <w:sz w:val="20"/>
                <w:lang w:eastAsia="en-US"/>
              </w:rPr>
              <w:t>Skutečný stav v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rFonts w:ascii="Arial" w:hAnsi="Arial"/>
                <w:b/>
                <w:snapToGrid w:val="0"/>
                <w:sz w:val="20"/>
                <w:lang w:eastAsia="en-US"/>
              </w:rPr>
              <w:t>Účetní stav v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rFonts w:ascii="Arial" w:hAnsi="Arial"/>
                <w:b/>
                <w:snapToGrid w:val="0"/>
                <w:sz w:val="20"/>
                <w:lang w:eastAsia="en-US"/>
              </w:rPr>
              <w:t>Rozdíl v Kč</w:t>
            </w:r>
          </w:p>
        </w:tc>
      </w:tr>
      <w:tr w:rsidR="009D6F59" w:rsidRPr="001879B5" w:rsidTr="001152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DHM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1879B5">
              <w:rPr>
                <w:sz w:val="20"/>
                <w:lang w:eastAsia="en-US"/>
              </w:rPr>
              <w:t>F,D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1 486 232,00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1 486 232,00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0,-</w:t>
            </w:r>
          </w:p>
        </w:tc>
      </w:tr>
      <w:tr w:rsidR="009D6F59" w:rsidRPr="001879B5" w:rsidTr="001152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DDHM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1879B5">
              <w:rPr>
                <w:sz w:val="20"/>
                <w:lang w:eastAsia="en-US"/>
              </w:rPr>
              <w:t>F,D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A715FB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="001A13F3">
              <w:rPr>
                <w:sz w:val="20"/>
                <w:lang w:eastAsia="en-US"/>
              </w:rPr>
              <w:t> </w:t>
            </w:r>
            <w:r>
              <w:rPr>
                <w:sz w:val="20"/>
                <w:lang w:eastAsia="en-US"/>
              </w:rPr>
              <w:t>394</w:t>
            </w:r>
            <w:r w:rsidR="001A13F3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586,23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1A13F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2 394 586,23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0,-</w:t>
            </w:r>
          </w:p>
        </w:tc>
      </w:tr>
      <w:tr w:rsidR="009D6F59" w:rsidRPr="001879B5" w:rsidTr="001152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Stavby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1879B5">
              <w:rPr>
                <w:sz w:val="20"/>
                <w:lang w:eastAsia="en-US"/>
              </w:rPr>
              <w:t>F,D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289 114,50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 xml:space="preserve">   289 114,50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1A13F3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289 114,50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0,-</w:t>
            </w:r>
          </w:p>
        </w:tc>
      </w:tr>
      <w:tr w:rsidR="009D6F59" w:rsidRPr="001879B5" w:rsidTr="001152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Pozemky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031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1879B5">
              <w:rPr>
                <w:sz w:val="20"/>
                <w:lang w:eastAsia="en-US"/>
              </w:rPr>
              <w:t>F,D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 xml:space="preserve">    8 488,81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 xml:space="preserve">       8 488,81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 xml:space="preserve">       8 488,81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0,-</w:t>
            </w:r>
          </w:p>
        </w:tc>
      </w:tr>
      <w:tr w:rsidR="009D6F59" w:rsidRPr="001879B5" w:rsidTr="001152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Software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F, 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7 865,00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7 865,00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1879B5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1879B5">
              <w:rPr>
                <w:sz w:val="20"/>
                <w:lang w:eastAsia="en-US"/>
              </w:rPr>
              <w:t>0,-</w:t>
            </w:r>
          </w:p>
        </w:tc>
      </w:tr>
    </w:tbl>
    <w:p w:rsidR="009D6F59" w:rsidRDefault="009D6F59" w:rsidP="009D6F59">
      <w:pPr>
        <w:rPr>
          <w:szCs w:val="24"/>
        </w:rPr>
      </w:pPr>
    </w:p>
    <w:p w:rsidR="009D6F59" w:rsidRDefault="009D6F59" w:rsidP="00BE7967">
      <w:pPr>
        <w:jc w:val="both"/>
        <w:rPr>
          <w:szCs w:val="24"/>
        </w:rPr>
      </w:pPr>
      <w:r>
        <w:rPr>
          <w:szCs w:val="24"/>
        </w:rPr>
        <w:t>Nebyly zjištěny žádné inventarizační rozdíly.</w:t>
      </w:r>
    </w:p>
    <w:p w:rsidR="009D6F59" w:rsidRDefault="009D6F59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0B250A" w:rsidRDefault="000B250A" w:rsidP="009D6F59">
      <w:pPr>
        <w:rPr>
          <w:szCs w:val="24"/>
        </w:rPr>
      </w:pPr>
    </w:p>
    <w:p w:rsidR="009D6F59" w:rsidRDefault="009D6F59" w:rsidP="009D6F59">
      <w:pPr>
        <w:rPr>
          <w:szCs w:val="24"/>
        </w:rPr>
      </w:pPr>
    </w:p>
    <w:p w:rsidR="009D6F59" w:rsidRDefault="009D6F59" w:rsidP="00BE7967">
      <w:pPr>
        <w:jc w:val="both"/>
        <w:rPr>
          <w:b/>
          <w:szCs w:val="24"/>
          <w:u w:val="single"/>
        </w:rPr>
      </w:pPr>
      <w:r>
        <w:rPr>
          <w:b/>
          <w:sz w:val="20"/>
        </w:rPr>
        <w:t>8</w:t>
      </w:r>
      <w:r>
        <w:rPr>
          <w:b/>
          <w:szCs w:val="24"/>
        </w:rPr>
        <w:t xml:space="preserve">.  </w:t>
      </w:r>
      <w:r>
        <w:rPr>
          <w:b/>
          <w:szCs w:val="24"/>
          <w:u w:val="single"/>
        </w:rPr>
        <w:t xml:space="preserve">Přehled o stavech peněžních fondů organizace a finančních prostředků na běžných  </w:t>
      </w:r>
    </w:p>
    <w:p w:rsidR="009D6F59" w:rsidRDefault="009D6F59" w:rsidP="009D6F59">
      <w:pPr>
        <w:rPr>
          <w:szCs w:val="24"/>
          <w:u w:val="single"/>
        </w:rPr>
      </w:pPr>
      <w:r>
        <w:rPr>
          <w:b/>
          <w:szCs w:val="24"/>
        </w:rPr>
        <w:t xml:space="preserve">     </w:t>
      </w:r>
      <w:r>
        <w:rPr>
          <w:b/>
          <w:szCs w:val="24"/>
          <w:u w:val="single"/>
        </w:rPr>
        <w:t>účtech</w:t>
      </w:r>
    </w:p>
    <w:p w:rsidR="009D6F59" w:rsidRDefault="009D6F59" w:rsidP="009D6F59">
      <w:pPr>
        <w:rPr>
          <w:szCs w:val="24"/>
          <w:u w:val="single"/>
        </w:rPr>
      </w:pPr>
      <w:r>
        <w:rPr>
          <w:szCs w:val="24"/>
          <w:u w:val="single"/>
        </w:rPr>
        <w:t xml:space="preserve"> </w:t>
      </w:r>
    </w:p>
    <w:p w:rsidR="009D6F59" w:rsidRDefault="009D6F59" w:rsidP="009D6F59">
      <w:pPr>
        <w:rPr>
          <w:szCs w:val="24"/>
        </w:rPr>
      </w:pPr>
      <w:r>
        <w:rPr>
          <w:szCs w:val="24"/>
        </w:rPr>
        <w:t>Stav k 31. 12. 201</w:t>
      </w:r>
      <w:r w:rsidR="00A03864">
        <w:rPr>
          <w:szCs w:val="24"/>
        </w:rPr>
        <w:t>8</w:t>
      </w:r>
      <w:r>
        <w:rPr>
          <w:szCs w:val="24"/>
        </w:rPr>
        <w:t xml:space="preserve">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1417"/>
        <w:gridCol w:w="1134"/>
        <w:gridCol w:w="1134"/>
        <w:gridCol w:w="1202"/>
      </w:tblGrid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 xml:space="preserve">FOND REPRODUKCE MAJETKU </w:t>
            </w:r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u w:val="single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(investiční fond) – účet 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Rozpočet</w:t>
            </w:r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201</w:t>
            </w:r>
            <w:r w:rsidR="00A03864">
              <w:rPr>
                <w:b/>
                <w:sz w:val="20"/>
                <w:lang w:eastAsia="en-US"/>
              </w:rPr>
              <w:t>8</w:t>
            </w:r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v tis.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Skutečnost 201</w:t>
            </w:r>
            <w:r w:rsidR="00A03864">
              <w:rPr>
                <w:b/>
                <w:sz w:val="20"/>
                <w:lang w:eastAsia="en-US"/>
              </w:rPr>
              <w:t>8</w:t>
            </w:r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 tis.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E519C9">
              <w:rPr>
                <w:b/>
                <w:sz w:val="20"/>
                <w:lang w:eastAsia="en-US"/>
              </w:rPr>
              <w:t>%  plnění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Finanční krytí fondu v tis. Kč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4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A0386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Stav investičního fondu k </w:t>
            </w:r>
            <w:proofErr w:type="gramStart"/>
            <w:r w:rsidRPr="00E519C9">
              <w:rPr>
                <w:sz w:val="20"/>
                <w:lang w:eastAsia="en-US"/>
              </w:rPr>
              <w:t>1.1.201</w:t>
            </w:r>
            <w:r w:rsidR="00A03864">
              <w:rPr>
                <w:sz w:val="20"/>
                <w:lang w:eastAsia="en-US"/>
              </w:rPr>
              <w:t>8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A0386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A0386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A0386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409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Příděl z rezervního fondu organizace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Příděl z odpisů dlouhodobého majetku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Investiční dotace z rozpočtu zřizovatele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 xml:space="preserve">Investiční dotace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Ostatní investiční zdroje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ZDROJE FONDU 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A0386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A0386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A0386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439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Opravy a údržba neinvestiční povahy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A0386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Rekonstrukce a modernizace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Pořízení dlouhodobého majetku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Ostatní použití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Odvod do rozpočtu kraje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1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POUŽITÍ FONDU 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2474D7" w:rsidRDefault="008A58D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2474D7">
              <w:rPr>
                <w:b/>
                <w:sz w:val="20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2474D7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2474D7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2474D7" w:rsidRDefault="008A58D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2474D7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2474D7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2474D7">
              <w:rPr>
                <w:b/>
                <w:sz w:val="20"/>
                <w:lang w:eastAsia="en-US"/>
              </w:rPr>
              <w:t>1</w:t>
            </w: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9D6F59" w:rsidRPr="00E519C9" w:rsidTr="001152A4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4"/>
              <w:spacing w:line="276" w:lineRule="auto"/>
              <w:rPr>
                <w:sz w:val="20"/>
                <w:lang w:eastAsia="en-US"/>
              </w:rPr>
            </w:pPr>
            <w:r w:rsidRPr="006A51B0">
              <w:rPr>
                <w:sz w:val="20"/>
                <w:lang w:eastAsia="en-US"/>
              </w:rPr>
              <w:t>ZŮSTATEK INVESTIČNÍHO FONDU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8A58D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8A58D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8A58D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8A58D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438</w:t>
            </w:r>
          </w:p>
        </w:tc>
      </w:tr>
    </w:tbl>
    <w:p w:rsidR="009D6F59" w:rsidRDefault="009D6F59" w:rsidP="009D6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77"/>
        <w:gridCol w:w="1263"/>
        <w:gridCol w:w="1134"/>
        <w:gridCol w:w="1134"/>
        <w:gridCol w:w="1202"/>
      </w:tblGrid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 xml:space="preserve">REZERVNÍ FOND – </w:t>
            </w:r>
            <w:proofErr w:type="gramStart"/>
            <w:r w:rsidRPr="00E519C9">
              <w:rPr>
                <w:b/>
                <w:sz w:val="20"/>
                <w:lang w:eastAsia="en-US"/>
              </w:rPr>
              <w:t>účet  413</w:t>
            </w:r>
            <w:proofErr w:type="gramEnd"/>
            <w:r w:rsidRPr="00E519C9">
              <w:rPr>
                <w:b/>
                <w:sz w:val="20"/>
                <w:lang w:eastAsia="en-US"/>
              </w:rPr>
              <w:t>, 414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Rozpočet</w:t>
            </w:r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201</w:t>
            </w:r>
            <w:r w:rsidR="008A58D4">
              <w:rPr>
                <w:b/>
                <w:sz w:val="20"/>
                <w:lang w:eastAsia="en-US"/>
              </w:rPr>
              <w:t>8</w:t>
            </w:r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 xml:space="preserve">v tis. Kč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Skutečnost 201</w:t>
            </w:r>
            <w:r w:rsidR="008A58D4">
              <w:rPr>
                <w:b/>
                <w:sz w:val="20"/>
                <w:lang w:eastAsia="en-US"/>
              </w:rPr>
              <w:t>8</w:t>
            </w:r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v tis.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E519C9">
              <w:rPr>
                <w:b/>
                <w:sz w:val="20"/>
                <w:lang w:eastAsia="en-US"/>
              </w:rPr>
              <w:t>%  plnění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Finanční krytí fondu v tis. Kč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8A58D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Stav rezervního fondu k </w:t>
            </w:r>
            <w:proofErr w:type="gramStart"/>
            <w:r w:rsidRPr="00E519C9">
              <w:rPr>
                <w:sz w:val="20"/>
                <w:lang w:eastAsia="en-US"/>
              </w:rPr>
              <w:t>1.1.201</w:t>
            </w:r>
            <w:r w:rsidR="008A58D4">
              <w:rPr>
                <w:sz w:val="20"/>
                <w:lang w:eastAsia="en-US"/>
              </w:rPr>
              <w:t>8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174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Příděl z hospodářského výsledku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Ostatní zdroje fondu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8A58D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4"/>
              <w:spacing w:line="276" w:lineRule="auto"/>
              <w:rPr>
                <w:i/>
                <w:sz w:val="20"/>
                <w:lang w:eastAsia="en-US"/>
              </w:rPr>
            </w:pPr>
            <w:r w:rsidRPr="006A51B0">
              <w:rPr>
                <w:i/>
                <w:sz w:val="20"/>
                <w:lang w:eastAsia="en-US"/>
              </w:rPr>
              <w:t>ZDROJE FONDU CELKEM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8A58D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8A58D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174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Úhrada zhoršeného HV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Použití fondu do investičního fondu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Použití fondu na provozní náklady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8A58D4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Ostatní použití fondu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4"/>
              <w:spacing w:line="276" w:lineRule="auto"/>
              <w:rPr>
                <w:i/>
                <w:sz w:val="20"/>
                <w:lang w:eastAsia="en-US"/>
              </w:rPr>
            </w:pPr>
            <w:r w:rsidRPr="006A51B0">
              <w:rPr>
                <w:i/>
                <w:sz w:val="20"/>
                <w:lang w:eastAsia="en-US"/>
              </w:rPr>
              <w:t>POUŽITÍ FONDU CELKEM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8A58D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0</w:t>
            </w: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</w:p>
        </w:tc>
      </w:tr>
      <w:tr w:rsidR="009D6F59" w:rsidRPr="00E519C9" w:rsidTr="001152A4">
        <w:trPr>
          <w:cantSplit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4"/>
              <w:spacing w:line="276" w:lineRule="auto"/>
              <w:rPr>
                <w:sz w:val="20"/>
                <w:lang w:eastAsia="en-US"/>
              </w:rPr>
            </w:pPr>
            <w:r w:rsidRPr="006A51B0">
              <w:rPr>
                <w:sz w:val="20"/>
                <w:lang w:eastAsia="en-US"/>
              </w:rPr>
              <w:t>ZŮSTATEK REZERVNÍHO FONDU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8A58D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8A58D4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174</w:t>
            </w:r>
          </w:p>
        </w:tc>
      </w:tr>
    </w:tbl>
    <w:p w:rsidR="009D6F59" w:rsidRDefault="009D6F59" w:rsidP="009D6F59"/>
    <w:p w:rsidR="009D6F59" w:rsidRDefault="009D6F59" w:rsidP="009D6F59"/>
    <w:p w:rsidR="009D6F59" w:rsidRDefault="009D6F59" w:rsidP="009D6F59"/>
    <w:p w:rsidR="009D6F59" w:rsidRDefault="009D6F59" w:rsidP="009D6F59"/>
    <w:p w:rsidR="009D6F59" w:rsidRDefault="009D6F59" w:rsidP="009D6F59"/>
    <w:p w:rsidR="00A03864" w:rsidRDefault="00A03864" w:rsidP="009D6F59"/>
    <w:p w:rsidR="009D6F59" w:rsidRDefault="009D6F59" w:rsidP="009D6F59"/>
    <w:p w:rsidR="009D6F59" w:rsidRDefault="009D6F59" w:rsidP="009D6F59"/>
    <w:p w:rsidR="009D6F59" w:rsidRDefault="009D6F59" w:rsidP="009D6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52"/>
        <w:gridCol w:w="929"/>
        <w:gridCol w:w="1518"/>
        <w:gridCol w:w="970"/>
        <w:gridCol w:w="2641"/>
      </w:tblGrid>
      <w:tr w:rsidR="009D6F59" w:rsidRPr="00E519C9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6A51B0" w:rsidRDefault="009D6F59" w:rsidP="001152A4">
            <w:pPr>
              <w:pStyle w:val="Nadpis4"/>
              <w:spacing w:line="276" w:lineRule="auto"/>
              <w:jc w:val="center"/>
              <w:rPr>
                <w:i/>
                <w:sz w:val="20"/>
                <w:lang w:eastAsia="en-US"/>
              </w:rPr>
            </w:pPr>
            <w:r w:rsidRPr="006A51B0">
              <w:rPr>
                <w:i/>
                <w:sz w:val="20"/>
                <w:lang w:eastAsia="en-US"/>
              </w:rPr>
              <w:lastRenderedPageBreak/>
              <w:t>FOND ODMĚN – účet 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Rozpočet</w:t>
            </w:r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201</w:t>
            </w:r>
            <w:r w:rsidR="008A58D4">
              <w:rPr>
                <w:b/>
                <w:sz w:val="20"/>
                <w:lang w:eastAsia="en-US"/>
              </w:rPr>
              <w:t>8</w:t>
            </w:r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v tis.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Skutečnost 201</w:t>
            </w:r>
            <w:r w:rsidR="008A58D4">
              <w:rPr>
                <w:b/>
                <w:sz w:val="20"/>
                <w:lang w:eastAsia="en-US"/>
              </w:rPr>
              <w:t>8</w:t>
            </w:r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v tis.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E519C9">
              <w:rPr>
                <w:b/>
                <w:sz w:val="20"/>
                <w:lang w:eastAsia="en-US"/>
              </w:rPr>
              <w:t>%  plnění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Finanční krytí fondu v tis. Kč</w:t>
            </w:r>
          </w:p>
        </w:tc>
      </w:tr>
      <w:tr w:rsidR="009D6F59" w:rsidRPr="003E686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8A58D4">
            <w:pPr>
              <w:spacing w:line="276" w:lineRule="auto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Stav fondu odměn k </w:t>
            </w:r>
            <w:proofErr w:type="gramStart"/>
            <w:r w:rsidRPr="003E686F">
              <w:rPr>
                <w:sz w:val="20"/>
                <w:lang w:eastAsia="en-US"/>
              </w:rPr>
              <w:t>1.1.201</w:t>
            </w:r>
            <w:r w:rsidR="008A58D4" w:rsidRPr="003E686F">
              <w:rPr>
                <w:sz w:val="20"/>
                <w:lang w:eastAsia="en-US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85</w:t>
            </w:r>
          </w:p>
        </w:tc>
      </w:tr>
      <w:tr w:rsidR="009D6F59" w:rsidRPr="003E686F" w:rsidTr="001152A4">
        <w:trPr>
          <w:cantSplit/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pStyle w:val="Nadpis4"/>
              <w:spacing w:line="276" w:lineRule="auto"/>
              <w:rPr>
                <w:b w:val="0"/>
                <w:sz w:val="20"/>
                <w:lang w:eastAsia="en-US"/>
              </w:rPr>
            </w:pPr>
            <w:r w:rsidRPr="003E686F">
              <w:rPr>
                <w:b w:val="0"/>
                <w:sz w:val="20"/>
                <w:lang w:eastAsia="en-US"/>
              </w:rPr>
              <w:t>Příděl z hospodářského výsledku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</w:tr>
      <w:tr w:rsidR="009D6F59" w:rsidRPr="003E686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pStyle w:val="Nadpis4"/>
              <w:spacing w:line="276" w:lineRule="auto"/>
              <w:rPr>
                <w:i/>
                <w:sz w:val="20"/>
                <w:lang w:eastAsia="en-US"/>
              </w:rPr>
            </w:pPr>
            <w:r w:rsidRPr="003E686F">
              <w:rPr>
                <w:i/>
                <w:sz w:val="20"/>
                <w:lang w:eastAsia="en-US"/>
              </w:rPr>
              <w:t>ZDROJE FONDU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85</w:t>
            </w:r>
          </w:p>
        </w:tc>
      </w:tr>
      <w:tr w:rsidR="009D6F59" w:rsidRPr="003E686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9D6F59" w:rsidRPr="003E686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Použití fondu na mzdové náklady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0</w:t>
            </w:r>
          </w:p>
        </w:tc>
      </w:tr>
      <w:tr w:rsidR="009D6F59" w:rsidRPr="003E686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pStyle w:val="Nadpis4"/>
              <w:spacing w:line="276" w:lineRule="auto"/>
              <w:rPr>
                <w:i/>
                <w:sz w:val="20"/>
                <w:lang w:eastAsia="en-US"/>
              </w:rPr>
            </w:pPr>
            <w:r w:rsidRPr="003E686F">
              <w:rPr>
                <w:i/>
                <w:sz w:val="20"/>
                <w:lang w:eastAsia="en-US"/>
              </w:rPr>
              <w:t>POUŽITÍ FONDU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0</w:t>
            </w:r>
          </w:p>
        </w:tc>
      </w:tr>
      <w:tr w:rsidR="009D6F59" w:rsidRPr="003E686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9D6F59" w:rsidRPr="003E686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pStyle w:val="Nadpis4"/>
              <w:spacing w:line="276" w:lineRule="auto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ZŮSTATEK FONDU ODMĚN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85</w:t>
            </w:r>
          </w:p>
        </w:tc>
      </w:tr>
      <w:tr w:rsidR="009D6F59" w:rsidRPr="003E686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pStyle w:val="Nadpis4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</w:p>
        </w:tc>
      </w:tr>
      <w:tr w:rsidR="009D6F59" w:rsidRPr="003E686F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pStyle w:val="Nadpis4"/>
              <w:spacing w:line="276" w:lineRule="auto"/>
              <w:rPr>
                <w:sz w:val="20"/>
                <w:lang w:eastAsia="en-US"/>
              </w:rPr>
            </w:pPr>
            <w:r w:rsidRPr="003E686F">
              <w:rPr>
                <w:sz w:val="20"/>
                <w:lang w:eastAsia="en-US"/>
              </w:rPr>
              <w:t>CELKEM ÚČET 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E686F" w:rsidRDefault="006B65C6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3E686F">
              <w:rPr>
                <w:b/>
                <w:sz w:val="20"/>
                <w:lang w:eastAsia="en-US"/>
              </w:rPr>
              <w:t>1877</w:t>
            </w:r>
          </w:p>
        </w:tc>
      </w:tr>
    </w:tbl>
    <w:p w:rsidR="009D6F59" w:rsidRPr="003E686F" w:rsidRDefault="009D6F59" w:rsidP="009D6F59">
      <w:pPr>
        <w:pStyle w:val="Zkladntextodsazen"/>
        <w:ind w:left="0"/>
      </w:pPr>
      <w:r w:rsidRPr="003E686F">
        <w:rPr>
          <w:b w:val="0"/>
        </w:rPr>
        <w:tab/>
      </w:r>
      <w:r w:rsidRPr="003E686F">
        <w:rPr>
          <w:b w:val="0"/>
        </w:rPr>
        <w:tab/>
      </w:r>
      <w:r w:rsidRPr="003E686F">
        <w:rPr>
          <w:b w:val="0"/>
        </w:rPr>
        <w:tab/>
      </w:r>
      <w:r w:rsidRPr="003E686F">
        <w:rPr>
          <w:b w:val="0"/>
        </w:rPr>
        <w:tab/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64"/>
        <w:gridCol w:w="1207"/>
        <w:gridCol w:w="1352"/>
        <w:gridCol w:w="1008"/>
        <w:gridCol w:w="1879"/>
      </w:tblGrid>
      <w:tr w:rsidR="009D6F59" w:rsidRPr="00E519C9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 xml:space="preserve">FOND KULTURNÍCH A SOCIÁLNÍCH POTŘEB – </w:t>
            </w:r>
            <w:proofErr w:type="gramStart"/>
            <w:r w:rsidRPr="00E519C9">
              <w:rPr>
                <w:b/>
                <w:sz w:val="20"/>
                <w:lang w:eastAsia="en-US"/>
              </w:rPr>
              <w:t>účet  412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E519C9">
              <w:rPr>
                <w:b/>
                <w:sz w:val="20"/>
                <w:lang w:eastAsia="en-US"/>
              </w:rPr>
              <w:t>Rozpočet  201</w:t>
            </w:r>
            <w:r w:rsidR="00E72ACD">
              <w:rPr>
                <w:b/>
                <w:sz w:val="20"/>
                <w:lang w:eastAsia="en-US"/>
              </w:rPr>
              <w:t>8</w:t>
            </w:r>
            <w:proofErr w:type="gramEnd"/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v tis.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E519C9">
              <w:rPr>
                <w:b/>
                <w:sz w:val="20"/>
                <w:lang w:eastAsia="en-US"/>
              </w:rPr>
              <w:t>Skutečnost  201</w:t>
            </w:r>
            <w:r w:rsidR="00E72ACD">
              <w:rPr>
                <w:b/>
                <w:sz w:val="20"/>
                <w:lang w:eastAsia="en-US"/>
              </w:rPr>
              <w:t>8</w:t>
            </w:r>
            <w:proofErr w:type="gramEnd"/>
          </w:p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v tis.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E519C9">
              <w:rPr>
                <w:b/>
                <w:sz w:val="20"/>
                <w:lang w:eastAsia="en-US"/>
              </w:rPr>
              <w:t>%        plnění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Finanční krytí fondu v tis. Kč</w:t>
            </w:r>
          </w:p>
        </w:tc>
      </w:tr>
      <w:tr w:rsidR="009D6F59" w:rsidRPr="00E519C9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E72ACD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Stav FKSP k </w:t>
            </w:r>
            <w:proofErr w:type="gramStart"/>
            <w:r w:rsidRPr="00E519C9">
              <w:rPr>
                <w:sz w:val="20"/>
                <w:lang w:eastAsia="en-US"/>
              </w:rPr>
              <w:t>1.1.201</w:t>
            </w:r>
            <w:r w:rsidR="00E72ACD">
              <w:rPr>
                <w:sz w:val="20"/>
                <w:lang w:eastAsia="en-US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03363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FC6DD8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03363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03363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</w:tr>
      <w:tr w:rsidR="009D6F59" w:rsidRPr="00E519C9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 w:rsidRPr="00E519C9">
              <w:rPr>
                <w:sz w:val="20"/>
                <w:lang w:eastAsia="en-US"/>
              </w:rPr>
              <w:t>Příděl do FKSP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25FFB" w:rsidRDefault="0003363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FC6DD8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25FFB" w:rsidRDefault="0003363C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03363C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  <w:r w:rsidR="0003363C">
              <w:rPr>
                <w:sz w:val="20"/>
                <w:lang w:eastAsia="en-US"/>
              </w:rPr>
              <w:t>62</w:t>
            </w:r>
          </w:p>
        </w:tc>
      </w:tr>
      <w:tr w:rsidR="009D6F59" w:rsidRPr="00E519C9" w:rsidTr="001152A4">
        <w:trPr>
          <w:cantSplit/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4"/>
              <w:spacing w:line="276" w:lineRule="auto"/>
              <w:rPr>
                <w:i/>
                <w:sz w:val="20"/>
                <w:lang w:eastAsia="en-US"/>
              </w:rPr>
            </w:pPr>
            <w:r w:rsidRPr="006A51B0">
              <w:rPr>
                <w:i/>
                <w:sz w:val="20"/>
                <w:lang w:eastAsia="en-US"/>
              </w:rPr>
              <w:t>ZDROJE FONDU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25FFB" w:rsidRDefault="0003363C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FC6DD8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25FFB" w:rsidRDefault="0003363C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03363C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  <w:r w:rsidR="0003363C">
              <w:rPr>
                <w:b/>
                <w:sz w:val="20"/>
                <w:lang w:eastAsia="en-US"/>
              </w:rPr>
              <w:t>75</w:t>
            </w:r>
          </w:p>
        </w:tc>
      </w:tr>
      <w:tr w:rsidR="009D6F59" w:rsidRPr="00E519C9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25FFB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25FFB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9D6F59" w:rsidRPr="00E519C9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4"/>
              <w:spacing w:line="276" w:lineRule="auto"/>
              <w:rPr>
                <w:i/>
                <w:sz w:val="20"/>
                <w:lang w:eastAsia="en-US"/>
              </w:rPr>
            </w:pPr>
            <w:r w:rsidRPr="006A51B0">
              <w:rPr>
                <w:i/>
                <w:sz w:val="20"/>
                <w:lang w:eastAsia="en-US"/>
              </w:rPr>
              <w:t>POUŽITÍ FONDU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25FFB" w:rsidRDefault="0003363C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FC6DD8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325FFB" w:rsidRDefault="0003363C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03363C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  <w:r w:rsidR="0003363C">
              <w:rPr>
                <w:b/>
                <w:sz w:val="20"/>
                <w:lang w:eastAsia="en-US"/>
              </w:rPr>
              <w:t>59</w:t>
            </w:r>
          </w:p>
        </w:tc>
      </w:tr>
      <w:tr w:rsidR="009D6F59" w:rsidRPr="00E519C9" w:rsidTr="001152A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9D6F59" w:rsidRPr="00E519C9" w:rsidTr="001152A4">
        <w:trPr>
          <w:cantSplit/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6A51B0" w:rsidRDefault="009D6F59" w:rsidP="001152A4">
            <w:pPr>
              <w:pStyle w:val="Nadpis4"/>
              <w:spacing w:line="276" w:lineRule="auto"/>
              <w:rPr>
                <w:sz w:val="20"/>
                <w:lang w:eastAsia="en-US"/>
              </w:rPr>
            </w:pPr>
            <w:r w:rsidRPr="006A51B0">
              <w:rPr>
                <w:sz w:val="20"/>
                <w:lang w:eastAsia="en-US"/>
              </w:rPr>
              <w:t>ZŮSTATEK FKSP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FC6DD8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 w:rsidRPr="00E519C9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Pr="00E519C9" w:rsidRDefault="009D6F59" w:rsidP="0003363C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  <w:r w:rsidR="0003363C">
              <w:rPr>
                <w:b/>
                <w:sz w:val="20"/>
                <w:lang w:eastAsia="en-US"/>
              </w:rPr>
              <w:t>6</w:t>
            </w:r>
          </w:p>
        </w:tc>
      </w:tr>
    </w:tbl>
    <w:p w:rsidR="009D6F59" w:rsidRDefault="009D6F59" w:rsidP="009D6F59"/>
    <w:p w:rsidR="009D6F59" w:rsidRDefault="009D6F59" w:rsidP="00BE7967">
      <w:pPr>
        <w:jc w:val="both"/>
        <w:rPr>
          <w:b/>
        </w:rPr>
      </w:pPr>
      <w:r>
        <w:rPr>
          <w:b/>
        </w:rPr>
        <w:t xml:space="preserve">Komentář k tabulkám: </w:t>
      </w:r>
    </w:p>
    <w:p w:rsidR="009D6F59" w:rsidRDefault="009D6F59" w:rsidP="00BE7967">
      <w:pPr>
        <w:jc w:val="both"/>
      </w:pPr>
      <w:r>
        <w:t>Fond reprodukce majetku byl tvořen z odpisů za běžný rok</w:t>
      </w:r>
      <w:r w:rsidR="00E57158">
        <w:t xml:space="preserve"> 2018</w:t>
      </w:r>
      <w:r>
        <w:t xml:space="preserve">.  </w:t>
      </w:r>
    </w:p>
    <w:p w:rsidR="009D6F59" w:rsidRDefault="009D6F59" w:rsidP="00BE7967">
      <w:pPr>
        <w:jc w:val="both"/>
      </w:pPr>
      <w:r>
        <w:t>Fond kulturních a sociálních potřeb byl použit na příspěvek pro zaměstnance na obědy.</w:t>
      </w:r>
      <w:r w:rsidR="00E57158">
        <w:t xml:space="preserve"> Nevyčerpaný zůstatek je převeden a zakalkulován k čerpání do roku 2019.</w:t>
      </w:r>
    </w:p>
    <w:p w:rsidR="000B250A" w:rsidRDefault="000B250A" w:rsidP="00BE7967">
      <w:pPr>
        <w:jc w:val="both"/>
      </w:pPr>
    </w:p>
    <w:p w:rsidR="009D6F59" w:rsidRDefault="009D6F59" w:rsidP="009D6F59"/>
    <w:p w:rsidR="009D6F59" w:rsidRDefault="009D6F59" w:rsidP="005C7EF8">
      <w:pPr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Stav pohledávek a závazků po lhůtě splatnosti</w:t>
      </w:r>
    </w:p>
    <w:p w:rsidR="009D6F59" w:rsidRDefault="009D6F59" w:rsidP="009D6F59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096"/>
        <w:gridCol w:w="3582"/>
        <w:gridCol w:w="1024"/>
      </w:tblGrid>
      <w:tr w:rsidR="009D6F59" w:rsidTr="001152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POHLEDÁVKY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v </w:t>
            </w:r>
            <w:proofErr w:type="gramStart"/>
            <w:r>
              <w:rPr>
                <w:sz w:val="20"/>
                <w:lang w:eastAsia="en-US"/>
              </w:rPr>
              <w:t>tis.Kč</w:t>
            </w:r>
            <w:proofErr w:type="gramEnd"/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ZÁVAZKY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 tis. Kč</w:t>
            </w:r>
          </w:p>
        </w:tc>
      </w:tr>
      <w:tr w:rsidR="009D6F59" w:rsidTr="001152A4">
        <w:tc>
          <w:tcPr>
            <w:tcW w:w="3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do 30 dní</w:t>
            </w: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3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do 30 dní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Tr="001152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od 31 do 90 dní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od 31 do 90 dní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Tr="001152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od 91 do 180 dní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E57158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od 91 do 180 dní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Tr="001152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od 181 do 365 dní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od 181 do 365 dní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Tr="001152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366 dní a více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 lhůtě splatnosti 366 dní a více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9D6F59" w:rsidTr="001152A4">
        <w:tc>
          <w:tcPr>
            <w:tcW w:w="3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CELKEM POHLEDÁVKY PO LHŮTĚ SPLATNOSTI</w:t>
            </w: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E57158" w:rsidP="001152A4">
            <w:pPr>
              <w:spacing w:line="276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3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CELKEM ZÁVAZKY PO LHŮTĚ SPLATNOSTI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</w:tbl>
    <w:p w:rsidR="009D6F59" w:rsidRDefault="009D6F59" w:rsidP="009D6F59"/>
    <w:p w:rsidR="009D6F59" w:rsidRDefault="00E57158" w:rsidP="00BE7967">
      <w:pPr>
        <w:jc w:val="both"/>
        <w:rPr>
          <w:b/>
        </w:rPr>
      </w:pPr>
      <w:r>
        <w:rPr>
          <w:b/>
        </w:rPr>
        <w:t>Komentář k tabulce:</w:t>
      </w:r>
    </w:p>
    <w:p w:rsidR="00E57158" w:rsidRDefault="00A03864" w:rsidP="00BE7967">
      <w:pPr>
        <w:jc w:val="both"/>
      </w:pPr>
      <w:r>
        <w:t>Uživatel po opakovaném upozornění (telefonickém i písemném) o dlužných úhradách nezaplatil za služby v Denním stacionáři, tím vznikla pohledávka po lhůtě splatnosti za rok 2018.</w:t>
      </w:r>
    </w:p>
    <w:p w:rsidR="00A929E0" w:rsidRPr="00E57158" w:rsidRDefault="00A929E0" w:rsidP="00397572">
      <w:pPr>
        <w:jc w:val="both"/>
      </w:pPr>
    </w:p>
    <w:p w:rsidR="009D6F59" w:rsidRDefault="009D6F59" w:rsidP="009D6F59"/>
    <w:p w:rsidR="009D6F59" w:rsidRDefault="009D6F59" w:rsidP="009D6F59"/>
    <w:p w:rsidR="009D6F59" w:rsidRDefault="009D6F59" w:rsidP="009D6F59">
      <w:pPr>
        <w:jc w:val="both"/>
        <w:rPr>
          <w:b/>
          <w:u w:val="single"/>
        </w:rPr>
      </w:pPr>
      <w:r>
        <w:rPr>
          <w:b/>
        </w:rPr>
        <w:lastRenderedPageBreak/>
        <w:t>10.</w:t>
      </w:r>
      <w:r>
        <w:t xml:space="preserve">   </w:t>
      </w:r>
      <w:r>
        <w:rPr>
          <w:b/>
          <w:u w:val="single"/>
        </w:rPr>
        <w:t xml:space="preserve">Výsledky vnitřní a vnější kontrolní činnosti s důrazem na finanční postihy  </w:t>
      </w:r>
    </w:p>
    <w:p w:rsidR="009D6F59" w:rsidRDefault="009D6F59" w:rsidP="009D6F59">
      <w:pPr>
        <w:jc w:val="both"/>
        <w:rPr>
          <w:b/>
          <w:u w:val="single"/>
        </w:rPr>
      </w:pPr>
      <w:r>
        <w:rPr>
          <w:b/>
        </w:rPr>
        <w:t xml:space="preserve">        </w:t>
      </w:r>
      <w:r w:rsidR="00397572">
        <w:rPr>
          <w:b/>
          <w:u w:val="single"/>
        </w:rPr>
        <w:t>o</w:t>
      </w:r>
      <w:r>
        <w:rPr>
          <w:b/>
          <w:u w:val="single"/>
        </w:rPr>
        <w:t>rganizace</w:t>
      </w:r>
    </w:p>
    <w:p w:rsidR="009D6F59" w:rsidRDefault="009D6F59" w:rsidP="009D6F59">
      <w:pPr>
        <w:jc w:val="both"/>
        <w:rPr>
          <w:b/>
          <w:u w:val="single"/>
        </w:rPr>
      </w:pPr>
    </w:p>
    <w:p w:rsidR="003A5A91" w:rsidRPr="003A5A91" w:rsidRDefault="003A5A91" w:rsidP="007C78E0">
      <w:pPr>
        <w:jc w:val="both"/>
        <w:rPr>
          <w:b/>
          <w:szCs w:val="24"/>
        </w:rPr>
      </w:pPr>
      <w:r w:rsidRPr="003A5A91">
        <w:rPr>
          <w:b/>
          <w:szCs w:val="24"/>
        </w:rPr>
        <w:t>Roční zpráva o finanční kontrole za rok 2018 (FKVS)</w:t>
      </w:r>
    </w:p>
    <w:p w:rsidR="003A5A91" w:rsidRDefault="003A5A91" w:rsidP="007C78E0">
      <w:pPr>
        <w:jc w:val="both"/>
        <w:rPr>
          <w:szCs w:val="24"/>
        </w:rPr>
      </w:pPr>
      <w:r w:rsidRPr="003A5A91">
        <w:rPr>
          <w:szCs w:val="24"/>
        </w:rPr>
        <w:t>Organizace postupuje podle vyhlášky č. 320/2001 Sb., o finanční kontrole ve veřejné správě, v návaznosti na zákon č. 298/2007 Sb. o změně zákona o finanční kontrole a vyhlášky č. 416/2004 Sb., kterou se provádí některá ustanovení zákona, ustanovení §32 a §33 vyhlášky. Finanční kontrola je pro organizaci významným principem pro dodržování a uplatňování efektivnosti, hospodárnosti a účelnosti vynaložených veřejných prostředků.</w:t>
      </w:r>
      <w:r w:rsidR="007C78E0">
        <w:rPr>
          <w:szCs w:val="24"/>
        </w:rPr>
        <w:t xml:space="preserve"> </w:t>
      </w:r>
      <w:r w:rsidRPr="003A5A91">
        <w:rPr>
          <w:szCs w:val="24"/>
        </w:rPr>
        <w:t>K tomuto hospodárnému účelu jsou v organizaci vypracovány vnitřní směrnice (př. směrnice k finanční kontrole, směrnice o inventarizaci majetku, k fondovému hospodaření, směrnice o veřejných zakázkách, směrnice k nákupům, směrnice o postupu při uzavírání, evid</w:t>
      </w:r>
      <w:r w:rsidR="007C78E0">
        <w:rPr>
          <w:szCs w:val="24"/>
        </w:rPr>
        <w:t xml:space="preserve">enci a zveřejňování smluv atd.) </w:t>
      </w:r>
      <w:r w:rsidRPr="003A5A91">
        <w:rPr>
          <w:szCs w:val="24"/>
        </w:rPr>
        <w:t>Ředitel ukládá dle aktualizovaných vnitřních směrnic úk</w:t>
      </w:r>
      <w:r w:rsidR="007C78E0">
        <w:rPr>
          <w:szCs w:val="24"/>
        </w:rPr>
        <w:t xml:space="preserve">oly a kontroluje jejich plnění. </w:t>
      </w:r>
      <w:r w:rsidRPr="003A5A91">
        <w:rPr>
          <w:szCs w:val="24"/>
        </w:rPr>
        <w:t xml:space="preserve">Při finanční kontrole jsou v organizaci využívány kontrolní metody </w:t>
      </w:r>
      <w:r w:rsidR="007C78E0">
        <w:rPr>
          <w:szCs w:val="24"/>
        </w:rPr>
        <w:t xml:space="preserve">a postupy, které jsou ověřené v </w:t>
      </w:r>
      <w:r w:rsidRPr="003A5A91">
        <w:rPr>
          <w:szCs w:val="24"/>
        </w:rPr>
        <w:t>praxi a které jsou zároveň</w:t>
      </w:r>
      <w:r w:rsidR="007C78E0">
        <w:rPr>
          <w:szCs w:val="24"/>
        </w:rPr>
        <w:t xml:space="preserve"> v souladu s právními předpisy. </w:t>
      </w:r>
      <w:r w:rsidRPr="003A5A91">
        <w:rPr>
          <w:szCs w:val="24"/>
        </w:rPr>
        <w:t>V průběhu roku se uplatňuje vnitřní kontrolní systém, který slouží k včasnému zjištění, vyhodnocení a minimalizaci provozních, finančních, právních a dalších rizik vzni</w:t>
      </w:r>
      <w:r w:rsidR="007C78E0">
        <w:rPr>
          <w:szCs w:val="24"/>
        </w:rPr>
        <w:t xml:space="preserve">kajících při chodu organizace. </w:t>
      </w:r>
      <w:r w:rsidRPr="003A5A91">
        <w:rPr>
          <w:szCs w:val="24"/>
        </w:rPr>
        <w:t>I pravidelné informování zaměstnanců o nakládání s veřejnými prostředky pomáhá k dodržování zásad řádného hospodáře: efektivnost, hospodárnost a účelnost. Pro funkčnost vnitřního kontrolního systému je důležité stanovení a dodržování pravomocí, kompetencí a odpovědnosti jednotlivých pracovníků, jejich kontrola a vyhodnocování. V oblasti hospodaření se jedná zejména o přípravu, schvalování, provádění a kontrolu operací. Výběrová řízení, uzavírání smluv, vznik závazků, realizace plateb, vymáhání pohledávek patří mezi operace, jež jsou kontrolovány s největší odpovědností.</w:t>
      </w:r>
    </w:p>
    <w:p w:rsidR="007C02FB" w:rsidRPr="003A5A91" w:rsidRDefault="007C02FB" w:rsidP="003A5A91">
      <w:pPr>
        <w:rPr>
          <w:szCs w:val="24"/>
        </w:rPr>
      </w:pPr>
    </w:p>
    <w:p w:rsidR="007C78E0" w:rsidRPr="00813689" w:rsidRDefault="007C78E0" w:rsidP="007C78E0">
      <w:pPr>
        <w:jc w:val="both"/>
        <w:rPr>
          <w:b/>
          <w:szCs w:val="24"/>
          <w:u w:val="single"/>
        </w:rPr>
      </w:pPr>
      <w:r w:rsidRPr="00813689">
        <w:rPr>
          <w:b/>
          <w:szCs w:val="24"/>
          <w:u w:val="single"/>
        </w:rPr>
        <w:t>Řídící kontrola:</w:t>
      </w:r>
    </w:p>
    <w:p w:rsidR="003A5A91" w:rsidRDefault="003A5A91" w:rsidP="007C78E0">
      <w:pPr>
        <w:jc w:val="both"/>
        <w:rPr>
          <w:szCs w:val="24"/>
        </w:rPr>
      </w:pPr>
      <w:r w:rsidRPr="003A5A91">
        <w:rPr>
          <w:szCs w:val="24"/>
        </w:rPr>
        <w:t>Za efektivní, hospodárné a účelné hospodaření s veřejnými prostředk</w:t>
      </w:r>
      <w:r w:rsidR="007C78E0">
        <w:rPr>
          <w:szCs w:val="24"/>
        </w:rPr>
        <w:t xml:space="preserve">y zodpovídá ředitel organizace. </w:t>
      </w:r>
      <w:r w:rsidRPr="003A5A91">
        <w:rPr>
          <w:szCs w:val="24"/>
        </w:rPr>
        <w:t>Ekonom kromě své hlavní ekonomické funkce, plní ještě další pracovní role v jedné osobě (personali</w:t>
      </w:r>
      <w:r w:rsidR="007C78E0">
        <w:rPr>
          <w:szCs w:val="24"/>
        </w:rPr>
        <w:t xml:space="preserve">sta, mzdová účetní, rozpočtář). </w:t>
      </w:r>
      <w:r w:rsidRPr="003A5A91">
        <w:rPr>
          <w:szCs w:val="24"/>
        </w:rPr>
        <w:t xml:space="preserve">Ředitel má k dispozici plán kontrol pověřených vedoucích zaměstnanců, jednotlivých sociálních služeb. O provedení a o výsledcích kontrol dle zpracovaných plánů je veden zápis a v průběhu roku, je ověřeno </w:t>
      </w:r>
      <w:r w:rsidR="007C78E0">
        <w:rPr>
          <w:szCs w:val="24"/>
        </w:rPr>
        <w:t xml:space="preserve">provádění a náprava nedostatků. </w:t>
      </w:r>
      <w:r w:rsidRPr="003A5A91">
        <w:rPr>
          <w:szCs w:val="24"/>
        </w:rPr>
        <w:t xml:space="preserve">Při řídící kontrole jsou používány tyto formy a způsoby kontroly: předběžná, průběžná, následná a namátková, měsíční, čtvrtletní, půlroční, roční. </w:t>
      </w:r>
      <w:r w:rsidRPr="003A5A91">
        <w:rPr>
          <w:szCs w:val="24"/>
        </w:rPr>
        <w:br/>
        <w:t>Veškeré kontroly provádí ředitel organizace. Na příkaz ředitele se mohou podílet n</w:t>
      </w:r>
      <w:r w:rsidR="007C78E0">
        <w:rPr>
          <w:szCs w:val="24"/>
        </w:rPr>
        <w:t xml:space="preserve">a kontrole i tito zaměstnanci: </w:t>
      </w:r>
      <w:r w:rsidRPr="003A5A91">
        <w:rPr>
          <w:szCs w:val="24"/>
        </w:rPr>
        <w:t>ekonom, finanční referent, pracovník pověřený vedením týmu Denního stacionáře a pracovník pověřený vedením týmu Domova pro osoby se zdravotním postižením.</w:t>
      </w:r>
    </w:p>
    <w:p w:rsidR="007C02FB" w:rsidRPr="003A5A91" w:rsidRDefault="007C02FB" w:rsidP="007C78E0">
      <w:pPr>
        <w:rPr>
          <w:szCs w:val="24"/>
        </w:rPr>
      </w:pPr>
    </w:p>
    <w:p w:rsidR="007C78E0" w:rsidRPr="00813689" w:rsidRDefault="003A5A91" w:rsidP="007C78E0">
      <w:pPr>
        <w:jc w:val="both"/>
        <w:rPr>
          <w:szCs w:val="24"/>
          <w:u w:val="single"/>
        </w:rPr>
      </w:pPr>
      <w:r w:rsidRPr="00813689">
        <w:rPr>
          <w:b/>
          <w:szCs w:val="24"/>
          <w:u w:val="single"/>
        </w:rPr>
        <w:t>Předběžné kontroly:</w:t>
      </w:r>
    </w:p>
    <w:p w:rsidR="003A5A91" w:rsidRDefault="003A5A91" w:rsidP="007C78E0">
      <w:pPr>
        <w:jc w:val="both"/>
        <w:rPr>
          <w:szCs w:val="24"/>
        </w:rPr>
      </w:pPr>
      <w:r w:rsidRPr="003A5A91">
        <w:rPr>
          <w:szCs w:val="24"/>
        </w:rPr>
        <w:t>Na předběžnou kontrolu je kladen maximální důraz, protože je realizována před započtením operace. Příkazcem operace je ředitel a ekonom. Pouze tyto dvě osoby rozhodují o vzniku závazků plynoucích u uzavíraných smluv, z realizace objednávek a tím odpovídají za vznik výdajů. Příkazci plně zodpovídají za chod organizace, dodržují efektivnost, účelnost a hospodárnost rozpočtových finančních prostředků. Před každou finanční operací dochází k vyhodnocení potřebnosti nákupu, či objednávky. Předběžná kontrola plní funkci důkladné přípravy, zmapování nabídek, vyhodnocení priorit a potřeb.</w:t>
      </w:r>
    </w:p>
    <w:p w:rsidR="007C78E0" w:rsidRDefault="007C78E0" w:rsidP="003A5A91">
      <w:pPr>
        <w:rPr>
          <w:szCs w:val="24"/>
        </w:rPr>
      </w:pPr>
    </w:p>
    <w:p w:rsidR="007C78E0" w:rsidRDefault="007C78E0" w:rsidP="003A5A91">
      <w:pPr>
        <w:rPr>
          <w:szCs w:val="24"/>
        </w:rPr>
      </w:pPr>
    </w:p>
    <w:p w:rsidR="007C78E0" w:rsidRDefault="007C78E0" w:rsidP="003A5A91">
      <w:pPr>
        <w:rPr>
          <w:szCs w:val="24"/>
        </w:rPr>
      </w:pPr>
    </w:p>
    <w:p w:rsidR="007C78E0" w:rsidRDefault="007C78E0" w:rsidP="003A5A91">
      <w:pPr>
        <w:rPr>
          <w:szCs w:val="24"/>
        </w:rPr>
      </w:pPr>
    </w:p>
    <w:p w:rsidR="007C78E0" w:rsidRPr="003A5A91" w:rsidRDefault="007C78E0" w:rsidP="003A5A91">
      <w:pPr>
        <w:rPr>
          <w:szCs w:val="24"/>
        </w:rPr>
      </w:pPr>
    </w:p>
    <w:p w:rsidR="007C78E0" w:rsidRDefault="007C78E0" w:rsidP="007C78E0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Průběžné kontroly:</w:t>
      </w:r>
    </w:p>
    <w:p w:rsidR="003A5A91" w:rsidRDefault="003A5A91" w:rsidP="007C78E0">
      <w:pPr>
        <w:jc w:val="both"/>
        <w:rPr>
          <w:b/>
          <w:szCs w:val="24"/>
          <w:u w:val="single"/>
        </w:rPr>
      </w:pPr>
      <w:r w:rsidRPr="003A5A91">
        <w:rPr>
          <w:szCs w:val="24"/>
        </w:rPr>
        <w:t xml:space="preserve">Kontroly se realizují dle směrnice o vnitřní kontrole. Před každou účetní operací dochází ke kontrole předmětu účtování. Operace podložené hmotnou odpovědností: sklady drogistického zboží a potravin, evidence majetku, výběr úhrad za služby uživatelů Denního stacionáře a Domova pro osoby se zdravotním postižením, pokladna, kniha jízd atd., namátkově kontroluje ředitel organizace. Kontroly se týkají í ekonomického úseku: pohledávky, závazky, fondy, tržby, platby atd. </w:t>
      </w:r>
    </w:p>
    <w:p w:rsidR="007C78E0" w:rsidRPr="007C78E0" w:rsidRDefault="007C78E0" w:rsidP="007C78E0">
      <w:pPr>
        <w:jc w:val="both"/>
        <w:rPr>
          <w:b/>
          <w:szCs w:val="24"/>
          <w:u w:val="single"/>
        </w:rPr>
      </w:pPr>
    </w:p>
    <w:p w:rsidR="007C78E0" w:rsidRDefault="007C78E0" w:rsidP="007C78E0">
      <w:pPr>
        <w:jc w:val="both"/>
        <w:rPr>
          <w:szCs w:val="24"/>
        </w:rPr>
      </w:pPr>
      <w:r>
        <w:rPr>
          <w:b/>
          <w:szCs w:val="24"/>
          <w:u w:val="single"/>
        </w:rPr>
        <w:t>Následné kontroly:</w:t>
      </w:r>
    </w:p>
    <w:p w:rsidR="003A5A91" w:rsidRDefault="003A5A91" w:rsidP="007C78E0">
      <w:pPr>
        <w:jc w:val="both"/>
        <w:rPr>
          <w:szCs w:val="24"/>
        </w:rPr>
      </w:pPr>
      <w:r w:rsidRPr="003A5A91">
        <w:rPr>
          <w:szCs w:val="24"/>
        </w:rPr>
        <w:t>Tato kontrola je vzájemně provázána s průběžnou kontrolou. Pokud i tak dojde ke zjištění nesrovnalosti či jiného nesouladu, okamžitě se sjedná náprava nedostatků. V případě vážnějších zjištění vydá ředitel organiza</w:t>
      </w:r>
      <w:r w:rsidR="007C78E0">
        <w:rPr>
          <w:szCs w:val="24"/>
        </w:rPr>
        <w:t xml:space="preserve">ce pokyn k nápravnému opatření. </w:t>
      </w:r>
      <w:r w:rsidRPr="003A5A91">
        <w:rPr>
          <w:szCs w:val="24"/>
        </w:rPr>
        <w:t>Následnou kontrolu hospodaření provádí po předání čtvrtletních uzávěrek i Krajský úřad Libereckého kraje. Zpracované uzávěrky jsou vždy předloženy zřizovateli v elektronické i písemné podobě v určených termínech.</w:t>
      </w:r>
    </w:p>
    <w:p w:rsidR="007C02FB" w:rsidRPr="003A5A91" w:rsidRDefault="007C02FB" w:rsidP="003A5A91">
      <w:pPr>
        <w:rPr>
          <w:szCs w:val="24"/>
        </w:rPr>
      </w:pPr>
    </w:p>
    <w:p w:rsidR="00813689" w:rsidRDefault="003A5A91" w:rsidP="00813689">
      <w:pPr>
        <w:jc w:val="both"/>
        <w:rPr>
          <w:szCs w:val="24"/>
        </w:rPr>
      </w:pPr>
      <w:r w:rsidRPr="003A5A91">
        <w:rPr>
          <w:b/>
          <w:szCs w:val="24"/>
          <w:u w:val="single"/>
        </w:rPr>
        <w:t>Měsíční kontroly:</w:t>
      </w:r>
    </w:p>
    <w:p w:rsidR="00813689" w:rsidRPr="00813689" w:rsidRDefault="003A5A91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kontrola vyplnění podkladů pro výpočet platu (soupisek) a návaznost na zapisování </w:t>
      </w:r>
      <w:r w:rsidR="00813689">
        <w:rPr>
          <w:rFonts w:ascii="Times New Roman" w:hAnsi="Times New Roman"/>
          <w:sz w:val="24"/>
          <w:szCs w:val="24"/>
        </w:rPr>
        <w:t xml:space="preserve">do knihy </w:t>
      </w:r>
      <w:r w:rsidR="00813689" w:rsidRPr="00813689">
        <w:rPr>
          <w:rFonts w:ascii="Times New Roman" w:hAnsi="Times New Roman"/>
          <w:sz w:val="24"/>
          <w:szCs w:val="24"/>
        </w:rPr>
        <w:t xml:space="preserve">příchodů a odchodů </w:t>
      </w:r>
    </w:p>
    <w:p w:rsidR="00813689" w:rsidRPr="00813689" w:rsidRDefault="003A5A91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podkl</w:t>
      </w:r>
      <w:r w:rsidR="00813689" w:rsidRPr="00813689">
        <w:rPr>
          <w:rFonts w:ascii="Times New Roman" w:hAnsi="Times New Roman"/>
          <w:sz w:val="24"/>
          <w:szCs w:val="24"/>
        </w:rPr>
        <w:t>adů úhrad za služby  DS + DOZP</w:t>
      </w:r>
    </w:p>
    <w:p w:rsidR="00813689" w:rsidRPr="00813689" w:rsidRDefault="003A5A91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</w:t>
      </w:r>
      <w:r w:rsidR="00813689" w:rsidRPr="00813689">
        <w:rPr>
          <w:rFonts w:ascii="Times New Roman" w:hAnsi="Times New Roman"/>
          <w:sz w:val="24"/>
          <w:szCs w:val="24"/>
        </w:rPr>
        <w:t xml:space="preserve">la plnění úkolů – porady MNG </w:t>
      </w:r>
    </w:p>
    <w:p w:rsidR="00813689" w:rsidRPr="00813689" w:rsidRDefault="003A5A91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plnění úkolů – provo</w:t>
      </w:r>
      <w:r w:rsidR="00813689" w:rsidRPr="00813689">
        <w:rPr>
          <w:rFonts w:ascii="Times New Roman" w:hAnsi="Times New Roman"/>
          <w:sz w:val="24"/>
          <w:szCs w:val="24"/>
        </w:rPr>
        <w:t>zní porady Denního stacionáře</w:t>
      </w:r>
    </w:p>
    <w:p w:rsidR="00813689" w:rsidRPr="00813689" w:rsidRDefault="003A5A91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kontrola plnění </w:t>
      </w:r>
      <w:r w:rsidR="00813689" w:rsidRPr="00813689">
        <w:rPr>
          <w:rFonts w:ascii="Times New Roman" w:hAnsi="Times New Roman"/>
          <w:sz w:val="24"/>
          <w:szCs w:val="24"/>
        </w:rPr>
        <w:t xml:space="preserve">úkolů – provozní porady DOZP </w:t>
      </w:r>
    </w:p>
    <w:p w:rsidR="00813689" w:rsidRPr="00813689" w:rsidRDefault="00813689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pokladny</w:t>
      </w:r>
    </w:p>
    <w:p w:rsidR="00813689" w:rsidRPr="00813689" w:rsidRDefault="003A5A91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</w:t>
      </w:r>
      <w:r w:rsidR="00813689" w:rsidRPr="00813689">
        <w:rPr>
          <w:rFonts w:ascii="Times New Roman" w:hAnsi="Times New Roman"/>
          <w:sz w:val="24"/>
          <w:szCs w:val="24"/>
        </w:rPr>
        <w:t xml:space="preserve"> knih jízd (auto Ford, Dacia)</w:t>
      </w:r>
    </w:p>
    <w:p w:rsidR="00813689" w:rsidRPr="00813689" w:rsidRDefault="00813689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skladů drogérie</w:t>
      </w:r>
    </w:p>
    <w:p w:rsidR="003A5A91" w:rsidRPr="00813689" w:rsidRDefault="003A5A91" w:rsidP="005C7E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skladů potravin</w:t>
      </w:r>
    </w:p>
    <w:p w:rsidR="007C02FB" w:rsidRPr="003A5A91" w:rsidRDefault="007C02FB" w:rsidP="003A5A91">
      <w:pPr>
        <w:rPr>
          <w:szCs w:val="24"/>
        </w:rPr>
      </w:pPr>
    </w:p>
    <w:p w:rsidR="00813689" w:rsidRDefault="003A5A91" w:rsidP="00813689">
      <w:pPr>
        <w:jc w:val="both"/>
        <w:rPr>
          <w:szCs w:val="24"/>
        </w:rPr>
      </w:pPr>
      <w:r w:rsidRPr="003A5A91">
        <w:rPr>
          <w:b/>
          <w:szCs w:val="24"/>
          <w:u w:val="single"/>
        </w:rPr>
        <w:t>Čtvrtletní kontroly:</w:t>
      </w:r>
    </w:p>
    <w:p w:rsidR="003A5A91" w:rsidRPr="00813689" w:rsidRDefault="003A5A91" w:rsidP="005C7E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vyhodnocení práce pracovníků</w:t>
      </w:r>
    </w:p>
    <w:p w:rsidR="007C02FB" w:rsidRPr="003A5A91" w:rsidRDefault="007C02FB" w:rsidP="003A5A91">
      <w:pPr>
        <w:rPr>
          <w:szCs w:val="24"/>
        </w:rPr>
      </w:pPr>
    </w:p>
    <w:p w:rsidR="00813689" w:rsidRDefault="003A5A91" w:rsidP="00813689">
      <w:pPr>
        <w:jc w:val="both"/>
        <w:rPr>
          <w:szCs w:val="24"/>
        </w:rPr>
      </w:pPr>
      <w:r w:rsidRPr="003A5A91">
        <w:rPr>
          <w:b/>
          <w:szCs w:val="24"/>
          <w:u w:val="single"/>
        </w:rPr>
        <w:t>Půlroční kontroly:</w:t>
      </w:r>
    </w:p>
    <w:p w:rsidR="000B250A" w:rsidRPr="00813689" w:rsidRDefault="003A5A91" w:rsidP="005C7E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hodnocení pracovníků přímo podřízených řediteli</w:t>
      </w:r>
    </w:p>
    <w:p w:rsidR="003A5A91" w:rsidRPr="003A5A91" w:rsidRDefault="003A5A91" w:rsidP="003A5A91">
      <w:pPr>
        <w:rPr>
          <w:szCs w:val="24"/>
        </w:rPr>
      </w:pPr>
    </w:p>
    <w:p w:rsidR="00813689" w:rsidRDefault="003A5A91" w:rsidP="00813689">
      <w:pPr>
        <w:jc w:val="both"/>
        <w:rPr>
          <w:szCs w:val="24"/>
        </w:rPr>
      </w:pPr>
      <w:r w:rsidRPr="003A5A91">
        <w:rPr>
          <w:b/>
          <w:szCs w:val="24"/>
          <w:u w:val="single"/>
        </w:rPr>
        <w:t>Roční kontroly:</w:t>
      </w:r>
    </w:p>
    <w:p w:rsidR="00813689" w:rsidRPr="00813689" w:rsidRDefault="00813689" w:rsidP="005C7E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hospodaření</w:t>
      </w:r>
    </w:p>
    <w:p w:rsidR="00813689" w:rsidRPr="00813689" w:rsidRDefault="003A5A91" w:rsidP="005C7E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ro</w:t>
      </w:r>
      <w:r w:rsidR="00813689" w:rsidRPr="00813689">
        <w:rPr>
          <w:rFonts w:ascii="Times New Roman" w:hAnsi="Times New Roman"/>
          <w:sz w:val="24"/>
          <w:szCs w:val="24"/>
        </w:rPr>
        <w:t>zvojového plánu</w:t>
      </w:r>
    </w:p>
    <w:p w:rsidR="00813689" w:rsidRPr="00813689" w:rsidRDefault="00813689" w:rsidP="005C7E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BOZP a PO</w:t>
      </w:r>
    </w:p>
    <w:p w:rsidR="00813689" w:rsidRPr="00813689" w:rsidRDefault="00813689" w:rsidP="005C7E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prověrka účetní závěrky</w:t>
      </w:r>
    </w:p>
    <w:p w:rsidR="003A5A91" w:rsidRPr="00813689" w:rsidRDefault="003A5A91" w:rsidP="005C7E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konzultace a vyhodnocování návrhů hodnocení pracovníků DS a DOZP</w:t>
      </w:r>
    </w:p>
    <w:p w:rsidR="007C02FB" w:rsidRPr="003A5A91" w:rsidRDefault="007C02FB" w:rsidP="003A5A91">
      <w:pPr>
        <w:rPr>
          <w:szCs w:val="24"/>
        </w:rPr>
      </w:pPr>
    </w:p>
    <w:p w:rsidR="00813689" w:rsidRDefault="003A5A91" w:rsidP="00813689">
      <w:pPr>
        <w:jc w:val="both"/>
        <w:rPr>
          <w:szCs w:val="24"/>
        </w:rPr>
      </w:pPr>
      <w:r w:rsidRPr="003A5A91">
        <w:rPr>
          <w:b/>
          <w:szCs w:val="24"/>
          <w:u w:val="single"/>
        </w:rPr>
        <w:t>Jiné kontroly:</w:t>
      </w:r>
    </w:p>
    <w:p w:rsidR="00813689" w:rsidRPr="00813689" w:rsidRDefault="003A5A91" w:rsidP="005C7EF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kontrola vedoucího pracovníka Denního stacionáře (kontrola jeho plánu kontrol a </w:t>
      </w:r>
      <w:proofErr w:type="gramStart"/>
      <w:r w:rsidRPr="00813689">
        <w:rPr>
          <w:rFonts w:ascii="Times New Roman" w:hAnsi="Times New Roman"/>
          <w:sz w:val="24"/>
          <w:szCs w:val="24"/>
        </w:rPr>
        <w:t xml:space="preserve">plánování </w:t>
      </w:r>
      <w:r w:rsidR="003E686F" w:rsidRPr="00813689">
        <w:rPr>
          <w:rFonts w:ascii="Times New Roman" w:hAnsi="Times New Roman"/>
          <w:sz w:val="24"/>
          <w:szCs w:val="24"/>
        </w:rPr>
        <w:t xml:space="preserve">  </w:t>
      </w:r>
      <w:r w:rsidR="00813689" w:rsidRPr="00813689">
        <w:rPr>
          <w:rFonts w:ascii="Times New Roman" w:hAnsi="Times New Roman"/>
          <w:sz w:val="24"/>
          <w:szCs w:val="24"/>
        </w:rPr>
        <w:t>kontrol</w:t>
      </w:r>
      <w:proofErr w:type="gramEnd"/>
      <w:r w:rsidR="00813689" w:rsidRPr="00813689">
        <w:rPr>
          <w:rFonts w:ascii="Times New Roman" w:hAnsi="Times New Roman"/>
          <w:sz w:val="24"/>
          <w:szCs w:val="24"/>
        </w:rPr>
        <w:t>)</w:t>
      </w:r>
    </w:p>
    <w:p w:rsidR="00813689" w:rsidRPr="00813689" w:rsidRDefault="003A5A91" w:rsidP="005C7EF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kontrola vedoucího DOZP (kontrola jeho plánu kontrol, plánovaných kontrol a namátkových </w:t>
      </w:r>
      <w:r w:rsidR="00813689" w:rsidRPr="00813689">
        <w:rPr>
          <w:rFonts w:ascii="Times New Roman" w:hAnsi="Times New Roman"/>
          <w:sz w:val="24"/>
          <w:szCs w:val="24"/>
        </w:rPr>
        <w:t>kontrol,</w:t>
      </w:r>
    </w:p>
    <w:p w:rsidR="00813689" w:rsidRPr="00813689" w:rsidRDefault="003A5A91" w:rsidP="005C7EF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pře</w:t>
      </w:r>
      <w:r w:rsidR="00813689" w:rsidRPr="00813689">
        <w:rPr>
          <w:rFonts w:ascii="Times New Roman" w:hAnsi="Times New Roman"/>
          <w:sz w:val="24"/>
          <w:szCs w:val="24"/>
        </w:rPr>
        <w:t>dávání služeb a knihy hlášení)</w:t>
      </w:r>
    </w:p>
    <w:p w:rsidR="00813689" w:rsidRPr="00813689" w:rsidRDefault="003A5A91" w:rsidP="005C7EF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kontrola sociální agendy a práce sociální pracovnice (kontrola plánu kontrol, naplánovaných </w:t>
      </w:r>
      <w:r w:rsidR="00813689" w:rsidRPr="00813689">
        <w:rPr>
          <w:rFonts w:ascii="Times New Roman" w:hAnsi="Times New Roman"/>
          <w:sz w:val="24"/>
          <w:szCs w:val="24"/>
        </w:rPr>
        <w:t>i namátkových kontrol)</w:t>
      </w:r>
    </w:p>
    <w:p w:rsidR="00813689" w:rsidRDefault="003A5A91" w:rsidP="005C7EF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lastRenderedPageBreak/>
        <w:t>zvýšená kontro</w:t>
      </w:r>
      <w:r w:rsidR="00813689" w:rsidRPr="00813689">
        <w:rPr>
          <w:rFonts w:ascii="Times New Roman" w:hAnsi="Times New Roman"/>
          <w:sz w:val="24"/>
          <w:szCs w:val="24"/>
        </w:rPr>
        <w:t>la pracovníků ve zkušební době</w:t>
      </w:r>
    </w:p>
    <w:p w:rsidR="00813689" w:rsidRPr="00813689" w:rsidRDefault="00813689" w:rsidP="005C7EF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praxe</w:t>
      </w:r>
    </w:p>
    <w:p w:rsidR="003A5A91" w:rsidRPr="00813689" w:rsidRDefault="003A5A91" w:rsidP="005C7EF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kontrola dobrovolníků</w:t>
      </w:r>
    </w:p>
    <w:p w:rsidR="007C02FB" w:rsidRPr="003A5A91" w:rsidRDefault="007C02FB" w:rsidP="003A5A91">
      <w:pPr>
        <w:rPr>
          <w:szCs w:val="24"/>
        </w:rPr>
      </w:pPr>
    </w:p>
    <w:p w:rsidR="00813689" w:rsidRDefault="00813689" w:rsidP="00813689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Namátkové kontroly:</w:t>
      </w:r>
      <w:r w:rsidR="003A5A91" w:rsidRPr="003A5A91">
        <w:rPr>
          <w:b/>
          <w:szCs w:val="24"/>
          <w:u w:val="single"/>
        </w:rPr>
        <w:t xml:space="preserve">                                                                                                                                              </w:t>
      </w:r>
    </w:p>
    <w:p w:rsidR="00813689" w:rsidRPr="00813689" w:rsidRDefault="003A5A91" w:rsidP="005C7EF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výpočet plateb úhrad                                                                                                                                        </w:t>
      </w:r>
    </w:p>
    <w:p w:rsidR="00813689" w:rsidRPr="00813689" w:rsidRDefault="003A5A91" w:rsidP="005C7EF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efektivní stanovení počtu pracovníků vzhledem k specifice postižení a počtu uživatelů                          </w:t>
      </w:r>
    </w:p>
    <w:p w:rsidR="00813689" w:rsidRPr="00813689" w:rsidRDefault="003A5A91" w:rsidP="005C7EF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sklad drogerie</w:t>
      </w:r>
      <w:r w:rsidR="00813689" w:rsidRPr="00813689">
        <w:rPr>
          <w:rFonts w:ascii="Times New Roman" w:hAnsi="Times New Roman"/>
          <w:sz w:val="24"/>
          <w:szCs w:val="24"/>
        </w:rPr>
        <w:t xml:space="preserve"> (porovnání skutečného stavu)</w:t>
      </w:r>
    </w:p>
    <w:p w:rsidR="00813689" w:rsidRPr="00813689" w:rsidRDefault="003A5A91" w:rsidP="005C7EF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potravin</w:t>
      </w:r>
      <w:r w:rsidR="00813689" w:rsidRPr="00813689">
        <w:rPr>
          <w:rFonts w:ascii="Times New Roman" w:hAnsi="Times New Roman"/>
          <w:sz w:val="24"/>
          <w:szCs w:val="24"/>
        </w:rPr>
        <w:t xml:space="preserve"> (porovnání skutečného stavu)</w:t>
      </w:r>
    </w:p>
    <w:p w:rsidR="00813689" w:rsidRPr="00813689" w:rsidRDefault="003A5A91" w:rsidP="005C7EF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kniha jízd                                                                               </w:t>
      </w:r>
    </w:p>
    <w:p w:rsidR="00813689" w:rsidRPr="00813689" w:rsidRDefault="003A5A91" w:rsidP="005C7EF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 xml:space="preserve">kontrola pokladny                                                                                                                                                  </w:t>
      </w:r>
    </w:p>
    <w:p w:rsidR="003A5A91" w:rsidRPr="00813689" w:rsidRDefault="003A5A91" w:rsidP="005C7EF8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účetní operace</w:t>
      </w:r>
    </w:p>
    <w:p w:rsidR="003A5A91" w:rsidRPr="003A5A91" w:rsidRDefault="003A5A91" w:rsidP="003A5A91">
      <w:pPr>
        <w:rPr>
          <w:szCs w:val="24"/>
        </w:rPr>
      </w:pPr>
    </w:p>
    <w:p w:rsidR="00813689" w:rsidRDefault="003A5A91" w:rsidP="00813689">
      <w:pPr>
        <w:jc w:val="both"/>
        <w:rPr>
          <w:szCs w:val="24"/>
        </w:rPr>
      </w:pPr>
      <w:r w:rsidRPr="003A5A91">
        <w:rPr>
          <w:b/>
          <w:szCs w:val="24"/>
          <w:u w:val="single"/>
        </w:rPr>
        <w:t>Hodnocení a opatření:</w:t>
      </w:r>
    </w:p>
    <w:p w:rsidR="003A5A91" w:rsidRDefault="003A5A91" w:rsidP="00813689">
      <w:pPr>
        <w:jc w:val="both"/>
        <w:rPr>
          <w:szCs w:val="24"/>
        </w:rPr>
      </w:pPr>
      <w:r w:rsidRPr="003A5A91">
        <w:rPr>
          <w:szCs w:val="24"/>
        </w:rPr>
        <w:t>Po provedení kontroly je stanoven další postup, v případě nedostatků je vyžadována okamžitá náprava nebo náprava do určeného termínu, po té je provedena následná kontrola. V nutném případě se vydá Příkaz ředitele organizace. Dále se postupuje p</w:t>
      </w:r>
      <w:r w:rsidR="00813689">
        <w:rPr>
          <w:szCs w:val="24"/>
        </w:rPr>
        <w:t xml:space="preserve">odle aktuálního zákoníku práce. </w:t>
      </w:r>
      <w:r w:rsidRPr="003A5A91">
        <w:rPr>
          <w:szCs w:val="24"/>
        </w:rPr>
        <w:t>Na poradách se vyhodnocuje splnění úkolů, práce kolektivu a jednotlivců (poděkování, pochvaly, napomenutí, uká</w:t>
      </w:r>
      <w:r w:rsidR="00813689">
        <w:rPr>
          <w:szCs w:val="24"/>
        </w:rPr>
        <w:t xml:space="preserve">zky, návrhy, zlepšovací návrhy). </w:t>
      </w:r>
      <w:r w:rsidRPr="003A5A91">
        <w:rPr>
          <w:szCs w:val="24"/>
        </w:rPr>
        <w:t>Individuální hodnocení – slovní i písemné hodnocení (silné a slabé stránky, finanční hodnocení – osobní příplatek nebo odměny)</w:t>
      </w:r>
      <w:r w:rsidR="00813689">
        <w:rPr>
          <w:szCs w:val="24"/>
        </w:rPr>
        <w:t>.</w:t>
      </w:r>
    </w:p>
    <w:p w:rsidR="00813689" w:rsidRPr="003A5A91" w:rsidRDefault="00813689" w:rsidP="003A5A91">
      <w:pPr>
        <w:rPr>
          <w:szCs w:val="24"/>
        </w:rPr>
      </w:pPr>
    </w:p>
    <w:p w:rsidR="00813689" w:rsidRPr="00813689" w:rsidRDefault="003A5A91" w:rsidP="00813689">
      <w:pPr>
        <w:jc w:val="both"/>
        <w:rPr>
          <w:b/>
          <w:szCs w:val="24"/>
        </w:rPr>
      </w:pPr>
      <w:r w:rsidRPr="00813689">
        <w:rPr>
          <w:b/>
          <w:szCs w:val="24"/>
          <w:u w:val="single"/>
        </w:rPr>
        <w:t>V roce 2018 byly vydány tyto příkazy ředitele:</w:t>
      </w:r>
    </w:p>
    <w:p w:rsidR="003A5A91" w:rsidRDefault="003A5A91" w:rsidP="00BE7967">
      <w:pPr>
        <w:jc w:val="both"/>
        <w:rPr>
          <w:szCs w:val="24"/>
        </w:rPr>
      </w:pPr>
      <w:r w:rsidRPr="003A5A91">
        <w:rPr>
          <w:szCs w:val="24"/>
        </w:rPr>
        <w:t>Zabezpečení inventarizace hospodářských prostředků za rok 2018</w:t>
      </w:r>
    </w:p>
    <w:p w:rsidR="00813689" w:rsidRPr="003A5A91" w:rsidRDefault="00813689" w:rsidP="00813689">
      <w:pPr>
        <w:rPr>
          <w:szCs w:val="24"/>
        </w:rPr>
      </w:pPr>
    </w:p>
    <w:p w:rsidR="003A5A91" w:rsidRDefault="003A5A91" w:rsidP="00813689">
      <w:pPr>
        <w:jc w:val="both"/>
        <w:rPr>
          <w:szCs w:val="24"/>
        </w:rPr>
      </w:pPr>
      <w:r w:rsidRPr="003A5A91">
        <w:rPr>
          <w:szCs w:val="24"/>
        </w:rPr>
        <w:t>Kontrolní systém tvoří provázaný celek se směrnicemi účetní</w:t>
      </w:r>
      <w:r w:rsidR="00813689">
        <w:rPr>
          <w:szCs w:val="24"/>
        </w:rPr>
        <w:t xml:space="preserve"> jednotky, nařízeními ředitele. </w:t>
      </w:r>
      <w:r w:rsidRPr="003A5A91">
        <w:rPr>
          <w:szCs w:val="24"/>
        </w:rPr>
        <w:t>Cílem je dosáhnou maximálních efektů při na</w:t>
      </w:r>
      <w:r w:rsidR="00813689">
        <w:rPr>
          <w:szCs w:val="24"/>
        </w:rPr>
        <w:t xml:space="preserve">kládání s veřejnými prostředky. </w:t>
      </w:r>
      <w:r w:rsidRPr="003A5A91">
        <w:rPr>
          <w:szCs w:val="24"/>
        </w:rPr>
        <w:t>Organizace nemá</w:t>
      </w:r>
      <w:r w:rsidR="00813689">
        <w:rPr>
          <w:szCs w:val="24"/>
        </w:rPr>
        <w:t xml:space="preserve"> zřízen útvar vnitřního auditu. </w:t>
      </w:r>
      <w:r w:rsidRPr="003A5A91">
        <w:rPr>
          <w:szCs w:val="24"/>
        </w:rPr>
        <w:t>Každoročně probíhá -  průběžné ověření účetní závěrky a závě</w:t>
      </w:r>
      <w:r w:rsidR="00813689">
        <w:rPr>
          <w:szCs w:val="24"/>
        </w:rPr>
        <w:t xml:space="preserve">rečná prověrka účetní závěrky. </w:t>
      </w:r>
      <w:r w:rsidRPr="003A5A91">
        <w:rPr>
          <w:szCs w:val="24"/>
        </w:rPr>
        <w:t>Prověrku provádí ne</w:t>
      </w:r>
      <w:r w:rsidR="00813689">
        <w:rPr>
          <w:szCs w:val="24"/>
        </w:rPr>
        <w:t xml:space="preserve">závislý, certifikovaný auditor. </w:t>
      </w:r>
      <w:r w:rsidRPr="003A5A91">
        <w:rPr>
          <w:szCs w:val="24"/>
        </w:rPr>
        <w:t>Organizace za celý rok 2018 nebyla penalizována.</w:t>
      </w:r>
    </w:p>
    <w:p w:rsidR="000B250A" w:rsidRDefault="000B250A" w:rsidP="00813689">
      <w:pPr>
        <w:jc w:val="both"/>
        <w:rPr>
          <w:szCs w:val="24"/>
        </w:rPr>
      </w:pPr>
    </w:p>
    <w:p w:rsidR="007C02FB" w:rsidRPr="003A5A91" w:rsidRDefault="007C02FB" w:rsidP="003A5A91">
      <w:pPr>
        <w:rPr>
          <w:szCs w:val="24"/>
        </w:rPr>
      </w:pPr>
    </w:p>
    <w:p w:rsidR="00813689" w:rsidRDefault="003A5A91" w:rsidP="00813689">
      <w:pPr>
        <w:jc w:val="both"/>
        <w:rPr>
          <w:szCs w:val="24"/>
        </w:rPr>
      </w:pPr>
      <w:r w:rsidRPr="003A5A91">
        <w:rPr>
          <w:b/>
          <w:szCs w:val="24"/>
          <w:u w:val="single"/>
        </w:rPr>
        <w:t>Oblasti, které jsou předmětem kontrol:</w:t>
      </w:r>
    </w:p>
    <w:p w:rsidR="00813689" w:rsidRPr="00813689" w:rsidRDefault="00813689" w:rsidP="005C7E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m</w:t>
      </w:r>
      <w:r w:rsidR="003A5A91" w:rsidRPr="00813689">
        <w:rPr>
          <w:rFonts w:ascii="Times New Roman" w:hAnsi="Times New Roman"/>
          <w:sz w:val="24"/>
          <w:szCs w:val="24"/>
        </w:rPr>
        <w:t>zdy – soupisky, výplatní listiny, zaúčtování mezd, převody na bankovní účty, úhrada povinného pojištění, odvody,</w:t>
      </w:r>
      <w:r w:rsidRPr="00813689">
        <w:rPr>
          <w:rFonts w:ascii="Times New Roman" w:hAnsi="Times New Roman"/>
          <w:sz w:val="24"/>
          <w:szCs w:val="24"/>
        </w:rPr>
        <w:t xml:space="preserve"> další úkoly vyplývající z mezd</w:t>
      </w:r>
    </w:p>
    <w:p w:rsidR="00813689" w:rsidRPr="00813689" w:rsidRDefault="003A5A91" w:rsidP="005C7E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PHM a vozidla – kontrola knih jízd, nák</w:t>
      </w:r>
      <w:r w:rsidR="00813689" w:rsidRPr="00813689">
        <w:rPr>
          <w:rFonts w:ascii="Times New Roman" w:hAnsi="Times New Roman"/>
          <w:sz w:val="24"/>
          <w:szCs w:val="24"/>
        </w:rPr>
        <w:t>up a spotřeba PHM, stav vozidla</w:t>
      </w:r>
    </w:p>
    <w:p w:rsidR="00813689" w:rsidRPr="00813689" w:rsidRDefault="00813689" w:rsidP="005C7E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c</w:t>
      </w:r>
      <w:r w:rsidR="003A5A91" w:rsidRPr="00813689">
        <w:rPr>
          <w:rFonts w:ascii="Times New Roman" w:hAnsi="Times New Roman"/>
          <w:sz w:val="24"/>
          <w:szCs w:val="24"/>
        </w:rPr>
        <w:t>estovní příkazy – povolení služební cesty, zprávy o výsledku praco</w:t>
      </w:r>
      <w:r w:rsidRPr="00813689">
        <w:rPr>
          <w:rFonts w:ascii="Times New Roman" w:hAnsi="Times New Roman"/>
          <w:sz w:val="24"/>
          <w:szCs w:val="24"/>
        </w:rPr>
        <w:t>vní cesty</w:t>
      </w:r>
    </w:p>
    <w:p w:rsidR="00813689" w:rsidRPr="00813689" w:rsidRDefault="00813689" w:rsidP="005C7E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sklady – potravin a drogérie</w:t>
      </w:r>
    </w:p>
    <w:p w:rsidR="00813689" w:rsidRPr="00813689" w:rsidRDefault="00813689" w:rsidP="005C7E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k</w:t>
      </w:r>
      <w:r w:rsidR="003A5A91" w:rsidRPr="00813689">
        <w:rPr>
          <w:rFonts w:ascii="Times New Roman" w:hAnsi="Times New Roman"/>
          <w:sz w:val="24"/>
          <w:szCs w:val="24"/>
        </w:rPr>
        <w:t>ontrola majetku – vyřazení, zařaze</w:t>
      </w:r>
      <w:r w:rsidRPr="00813689">
        <w:rPr>
          <w:rFonts w:ascii="Times New Roman" w:hAnsi="Times New Roman"/>
          <w:sz w:val="24"/>
          <w:szCs w:val="24"/>
        </w:rPr>
        <w:t>ní, odpisy, místní seznamy atd.</w:t>
      </w:r>
    </w:p>
    <w:p w:rsidR="00813689" w:rsidRPr="00813689" w:rsidRDefault="00813689" w:rsidP="005C7E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p</w:t>
      </w:r>
      <w:r w:rsidR="003A5A91" w:rsidRPr="00813689">
        <w:rPr>
          <w:rFonts w:ascii="Times New Roman" w:hAnsi="Times New Roman"/>
          <w:sz w:val="24"/>
          <w:szCs w:val="24"/>
        </w:rPr>
        <w:t>okladna – příjmové a výdajové pokladní doklady, pokladní k</w:t>
      </w:r>
      <w:r w:rsidRPr="00813689">
        <w:rPr>
          <w:rFonts w:ascii="Times New Roman" w:hAnsi="Times New Roman"/>
          <w:sz w:val="24"/>
          <w:szCs w:val="24"/>
        </w:rPr>
        <w:t>niha, konečný zůstatek, výčetka</w:t>
      </w:r>
    </w:p>
    <w:p w:rsidR="00813689" w:rsidRPr="00813689" w:rsidRDefault="00813689" w:rsidP="005C7E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ú</w:t>
      </w:r>
      <w:r w:rsidR="003A5A91" w:rsidRPr="00813689">
        <w:rPr>
          <w:rFonts w:ascii="Times New Roman" w:hAnsi="Times New Roman"/>
          <w:sz w:val="24"/>
          <w:szCs w:val="24"/>
        </w:rPr>
        <w:t>četnictví - dodavatelské faktury, objednávky, úhrady, zálo</w:t>
      </w:r>
      <w:r w:rsidRPr="00813689">
        <w:rPr>
          <w:rFonts w:ascii="Times New Roman" w:hAnsi="Times New Roman"/>
          <w:sz w:val="24"/>
          <w:szCs w:val="24"/>
        </w:rPr>
        <w:t>hy, atd.</w:t>
      </w:r>
    </w:p>
    <w:p w:rsidR="003A5A91" w:rsidRPr="00813689" w:rsidRDefault="00813689" w:rsidP="005C7E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3689">
        <w:rPr>
          <w:rFonts w:ascii="Times New Roman" w:hAnsi="Times New Roman"/>
          <w:sz w:val="24"/>
          <w:szCs w:val="24"/>
        </w:rPr>
        <w:t>p</w:t>
      </w:r>
      <w:r w:rsidR="003A5A91" w:rsidRPr="00813689">
        <w:rPr>
          <w:rFonts w:ascii="Times New Roman" w:hAnsi="Times New Roman"/>
          <w:sz w:val="24"/>
          <w:szCs w:val="24"/>
        </w:rPr>
        <w:t>ersonální oblast – doklady uchazeče o zaměstnání (osobní dotazník), doklady k přijetí do zaměstnání (vstupní prohlídka, výpis z rejstříku trestů, atd.), doklady k ukončení pracovního poměru</w:t>
      </w:r>
      <w:r w:rsidR="007C02FB" w:rsidRPr="00813689">
        <w:rPr>
          <w:rFonts w:ascii="Times New Roman" w:hAnsi="Times New Roman"/>
          <w:sz w:val="24"/>
          <w:szCs w:val="24"/>
        </w:rPr>
        <w:t>.</w:t>
      </w:r>
    </w:p>
    <w:p w:rsidR="000B250A" w:rsidRDefault="000B250A" w:rsidP="00813689">
      <w:pPr>
        <w:jc w:val="both"/>
        <w:rPr>
          <w:szCs w:val="24"/>
        </w:rPr>
      </w:pPr>
    </w:p>
    <w:p w:rsidR="00813689" w:rsidRDefault="00813689" w:rsidP="00813689">
      <w:pPr>
        <w:jc w:val="both"/>
        <w:rPr>
          <w:szCs w:val="24"/>
        </w:rPr>
      </w:pPr>
    </w:p>
    <w:p w:rsidR="00813689" w:rsidRDefault="00813689" w:rsidP="00813689">
      <w:pPr>
        <w:jc w:val="both"/>
        <w:rPr>
          <w:szCs w:val="24"/>
        </w:rPr>
      </w:pPr>
    </w:p>
    <w:p w:rsidR="007C02FB" w:rsidRDefault="007C02FB" w:rsidP="003A5A91">
      <w:pPr>
        <w:rPr>
          <w:szCs w:val="24"/>
        </w:rPr>
      </w:pPr>
    </w:p>
    <w:p w:rsidR="00BE7967" w:rsidRDefault="007C02FB" w:rsidP="00397572">
      <w:pPr>
        <w:jc w:val="both"/>
        <w:rPr>
          <w:b/>
          <w:szCs w:val="24"/>
          <w:u w:val="single"/>
        </w:rPr>
      </w:pPr>
      <w:r w:rsidRPr="007C02FB">
        <w:rPr>
          <w:b/>
          <w:szCs w:val="24"/>
          <w:u w:val="single"/>
        </w:rPr>
        <w:lastRenderedPageBreak/>
        <w:t>Vn</w:t>
      </w:r>
      <w:r w:rsidR="00BE7967">
        <w:rPr>
          <w:b/>
          <w:szCs w:val="24"/>
          <w:u w:val="single"/>
        </w:rPr>
        <w:t>ější kontroly v roce 2018:</w:t>
      </w:r>
    </w:p>
    <w:p w:rsidR="003A5A91" w:rsidRPr="00BE7967" w:rsidRDefault="007C02FB" w:rsidP="00BE7967">
      <w:pPr>
        <w:jc w:val="both"/>
        <w:rPr>
          <w:b/>
          <w:szCs w:val="24"/>
          <w:u w:val="single"/>
        </w:rPr>
      </w:pPr>
      <w:r>
        <w:rPr>
          <w:szCs w:val="24"/>
        </w:rPr>
        <w:t>Okresn</w:t>
      </w:r>
      <w:r w:rsidR="00E8177D">
        <w:rPr>
          <w:szCs w:val="24"/>
        </w:rPr>
        <w:t xml:space="preserve">í správa sociálního zabezpečení se sídlem Bezručova 3015, Česká Lípa ze dne </w:t>
      </w:r>
      <w:proofErr w:type="gramStart"/>
      <w:r w:rsidR="00E8177D">
        <w:rPr>
          <w:szCs w:val="24"/>
        </w:rPr>
        <w:t>21.6.-22</w:t>
      </w:r>
      <w:proofErr w:type="gramEnd"/>
      <w:r w:rsidR="00E8177D">
        <w:rPr>
          <w:szCs w:val="24"/>
        </w:rPr>
        <w:t>.</w:t>
      </w:r>
      <w:r w:rsidR="002D406B">
        <w:rPr>
          <w:szCs w:val="24"/>
        </w:rPr>
        <w:t xml:space="preserve"> </w:t>
      </w:r>
      <w:r w:rsidR="00E8177D">
        <w:rPr>
          <w:szCs w:val="24"/>
        </w:rPr>
        <w:t>6.</w:t>
      </w:r>
      <w:r w:rsidR="002D406B">
        <w:rPr>
          <w:szCs w:val="24"/>
        </w:rPr>
        <w:t xml:space="preserve"> </w:t>
      </w:r>
      <w:r w:rsidR="00E8177D">
        <w:rPr>
          <w:szCs w:val="24"/>
        </w:rPr>
        <w:t>2018.</w:t>
      </w:r>
    </w:p>
    <w:p w:rsidR="00BE7967" w:rsidRDefault="00BE7967" w:rsidP="00397572">
      <w:pPr>
        <w:jc w:val="both"/>
        <w:rPr>
          <w:szCs w:val="24"/>
        </w:rPr>
      </w:pPr>
    </w:p>
    <w:p w:rsidR="007C02FB" w:rsidRDefault="007C02FB" w:rsidP="00BE7967">
      <w:pPr>
        <w:jc w:val="both"/>
        <w:rPr>
          <w:szCs w:val="24"/>
        </w:rPr>
      </w:pPr>
      <w:r>
        <w:rPr>
          <w:szCs w:val="24"/>
          <w:u w:val="single"/>
        </w:rPr>
        <w:t>Předmětem kontroly bylo</w:t>
      </w:r>
      <w:r w:rsidR="00E8177D">
        <w:rPr>
          <w:szCs w:val="24"/>
          <w:u w:val="single"/>
        </w:rPr>
        <w:t>:</w:t>
      </w:r>
      <w:r w:rsidR="00E8177D">
        <w:rPr>
          <w:szCs w:val="24"/>
        </w:rPr>
        <w:t xml:space="preserve"> plnění povinností v nemocenském pojištění, v důchodovém pojištění a při odvodu pojistného na sociální zabezpečení a příspěvku na státní politiku zaměstnanosti stanovených zákonem č.187/2006 Sb., ve znění pozdějších předpisů, ZOPSZ a zákonem č.589/1992 Sb., o pojistném na sociální zabezpečení a příspěvku na státní politiku zaměstnanosti, ve znění pozdějších předpisů. Nebyla uložena žádná nápravná opatření.</w:t>
      </w:r>
    </w:p>
    <w:p w:rsidR="009D6F59" w:rsidRPr="003A5A91" w:rsidRDefault="009D6F59" w:rsidP="009D6F59">
      <w:pPr>
        <w:jc w:val="both"/>
        <w:rPr>
          <w:szCs w:val="24"/>
          <w:u w:val="single"/>
        </w:rPr>
      </w:pPr>
    </w:p>
    <w:p w:rsidR="009D6F59" w:rsidRDefault="009D6F59" w:rsidP="00BE7967">
      <w:pPr>
        <w:jc w:val="both"/>
        <w:rPr>
          <w:b/>
          <w:u w:val="single"/>
        </w:rPr>
      </w:pPr>
      <w:r>
        <w:rPr>
          <w:b/>
        </w:rPr>
        <w:t xml:space="preserve">11.   </w:t>
      </w:r>
      <w:r>
        <w:rPr>
          <w:b/>
          <w:u w:val="single"/>
        </w:rPr>
        <w:t>Návrh na rozdělení zlepšeného hospodářského výsledku</w:t>
      </w:r>
    </w:p>
    <w:p w:rsidR="009D6F59" w:rsidRDefault="009D6F59" w:rsidP="009D6F59">
      <w:pPr>
        <w:rPr>
          <w:b/>
          <w:u w:val="single"/>
        </w:rPr>
      </w:pPr>
    </w:p>
    <w:p w:rsidR="009D6F59" w:rsidRDefault="009D6F59" w:rsidP="00BE7967">
      <w:pPr>
        <w:jc w:val="both"/>
      </w:pPr>
      <w:r>
        <w:t>Organizace za rok 201</w:t>
      </w:r>
      <w:r w:rsidR="00FC6DD8">
        <w:t>8</w:t>
      </w:r>
      <w:r>
        <w:t xml:space="preserve"> nevykazuje zlepšený hospodářský výsledek.</w:t>
      </w:r>
    </w:p>
    <w:p w:rsidR="000B250A" w:rsidRDefault="000B250A" w:rsidP="009D6F59"/>
    <w:p w:rsidR="009D6F59" w:rsidRDefault="009D6F59" w:rsidP="009D6F59"/>
    <w:p w:rsidR="009D6F59" w:rsidRDefault="009D6F59" w:rsidP="00BE7967">
      <w:pPr>
        <w:jc w:val="both"/>
        <w:rPr>
          <w:b/>
          <w:u w:val="single"/>
        </w:rPr>
      </w:pPr>
      <w:r>
        <w:rPr>
          <w:b/>
        </w:rPr>
        <w:t xml:space="preserve">12.  </w:t>
      </w:r>
      <w:r>
        <w:rPr>
          <w:b/>
          <w:u w:val="single"/>
        </w:rPr>
        <w:t>Návrh na vypořádání ztráty</w:t>
      </w:r>
    </w:p>
    <w:p w:rsidR="009D6F59" w:rsidRPr="00EE5731" w:rsidRDefault="009D6F59" w:rsidP="009D6F59"/>
    <w:p w:rsidR="009D6F59" w:rsidRDefault="009D6F59" w:rsidP="009D6F59">
      <w:pPr>
        <w:ind w:left="360"/>
        <w:rPr>
          <w:b/>
          <w:u w:val="single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76"/>
        <w:gridCol w:w="1524"/>
        <w:gridCol w:w="1525"/>
        <w:gridCol w:w="1525"/>
        <w:gridCol w:w="1525"/>
      </w:tblGrid>
      <w:tr w:rsidR="009D6F59" w:rsidTr="001152A4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v Kč</w:t>
            </w:r>
          </w:p>
        </w:tc>
      </w:tr>
      <w:tr w:rsidR="009D6F59" w:rsidTr="001152A4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Pr="00416264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416264">
              <w:rPr>
                <w:rFonts w:cs="Arial"/>
                <w:b/>
                <w:bCs/>
                <w:sz w:val="20"/>
                <w:lang w:eastAsia="en-US"/>
              </w:rPr>
              <w:t>Příděl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 </w:t>
            </w:r>
          </w:p>
        </w:tc>
      </w:tr>
      <w:tr w:rsidR="009D6F59" w:rsidTr="001152A4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Pr="00416264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416264">
              <w:rPr>
                <w:rFonts w:cs="Arial"/>
                <w:b/>
                <w:bCs/>
                <w:sz w:val="20"/>
                <w:lang w:eastAsia="en-US"/>
              </w:rPr>
              <w:t xml:space="preserve"> ze zhoršeného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Stav</w:t>
            </w:r>
          </w:p>
        </w:tc>
      </w:tr>
      <w:tr w:rsidR="009D6F59" w:rsidTr="001152A4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Ukazatel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7C02FB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 xml:space="preserve">k </w:t>
            </w:r>
            <w:proofErr w:type="gramStart"/>
            <w:r>
              <w:rPr>
                <w:rFonts w:cs="Arial"/>
                <w:b/>
                <w:bCs/>
                <w:sz w:val="20"/>
                <w:lang w:eastAsia="en-US"/>
              </w:rPr>
              <w:t>1.1. 201</w:t>
            </w:r>
            <w:r w:rsidR="007C02FB">
              <w:rPr>
                <w:rFonts w:cs="Arial"/>
                <w:b/>
                <w:bCs/>
                <w:sz w:val="20"/>
                <w:lang w:eastAsia="en-US"/>
              </w:rPr>
              <w:t>8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7C02FB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k 31. 12. 201</w:t>
            </w:r>
            <w:r w:rsidR="007C02FB">
              <w:rPr>
                <w:rFonts w:cs="Arial"/>
                <w:b/>
                <w:bCs/>
                <w:sz w:val="20"/>
                <w:lang w:eastAsia="en-US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Pr="00416264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416264">
              <w:rPr>
                <w:rFonts w:cs="Arial"/>
                <w:b/>
                <w:bCs/>
                <w:sz w:val="20"/>
                <w:lang w:eastAsia="en-US"/>
              </w:rPr>
              <w:t>hospodář.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po přídělu</w:t>
            </w:r>
          </w:p>
        </w:tc>
      </w:tr>
      <w:tr w:rsidR="009D6F59" w:rsidTr="001152A4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Pr="00416264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416264">
              <w:rPr>
                <w:rFonts w:cs="Arial"/>
                <w:b/>
                <w:bCs/>
                <w:sz w:val="20"/>
                <w:lang w:eastAsia="en-US"/>
              </w:rPr>
              <w:t>výsledku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(sl. 2 - sl. 3)</w:t>
            </w:r>
          </w:p>
        </w:tc>
      </w:tr>
      <w:tr w:rsidR="009D6F59" w:rsidTr="001152A4">
        <w:trPr>
          <w:trHeight w:val="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Pr="00416264" w:rsidRDefault="009D6F59" w:rsidP="007C02FB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416264">
              <w:rPr>
                <w:rFonts w:cs="Arial"/>
                <w:b/>
                <w:bCs/>
                <w:sz w:val="20"/>
                <w:lang w:eastAsia="en-US"/>
              </w:rPr>
              <w:t>roku 201</w:t>
            </w:r>
            <w:r w:rsidR="007C02FB">
              <w:rPr>
                <w:rFonts w:cs="Arial"/>
                <w:b/>
                <w:bCs/>
                <w:sz w:val="20"/>
                <w:lang w:eastAsia="en-US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 </w:t>
            </w:r>
          </w:p>
        </w:tc>
      </w:tr>
      <w:tr w:rsidR="009D6F59" w:rsidTr="001152A4">
        <w:trPr>
          <w:trHeight w:val="27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4</w:t>
            </w:r>
          </w:p>
        </w:tc>
      </w:tr>
      <w:tr w:rsidR="009D6F59" w:rsidTr="001152A4">
        <w:trPr>
          <w:trHeight w:val="270"/>
        </w:trPr>
        <w:tc>
          <w:tcPr>
            <w:tcW w:w="3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Rezervní fond</w:t>
            </w:r>
          </w:p>
        </w:tc>
        <w:tc>
          <w:tcPr>
            <w:tcW w:w="152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A67DC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174 199,61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A67DC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174 198,16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A67DC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-10,34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A67DC9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174</w:t>
            </w:r>
            <w:r w:rsidR="00A67DC9">
              <w:rPr>
                <w:rFonts w:cs="Arial"/>
                <w:sz w:val="20"/>
                <w:lang w:eastAsia="en-US"/>
              </w:rPr>
              <w:t> 187,82</w:t>
            </w:r>
          </w:p>
        </w:tc>
      </w:tr>
      <w:tr w:rsidR="009D6F59" w:rsidTr="001152A4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Fond reprodukce majetku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A67DC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409 019,38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A67DC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438 099,38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A67DC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438 099,38</w:t>
            </w:r>
          </w:p>
        </w:tc>
      </w:tr>
      <w:tr w:rsidR="009D6F59" w:rsidTr="001152A4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Fond odměn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84 574,11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84 574,11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84 574,11</w:t>
            </w:r>
          </w:p>
        </w:tc>
      </w:tr>
      <w:tr w:rsidR="009D6F59" w:rsidTr="001152A4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Fond kulturních a sociálních potřeb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A67DC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13 372,82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A67DC9" w:rsidP="001152A4">
            <w:pPr>
              <w:spacing w:line="276" w:lineRule="auto"/>
              <w:jc w:val="right"/>
              <w:rPr>
                <w:rFonts w:cs="Arial"/>
                <w:bCs/>
                <w:sz w:val="20"/>
                <w:lang w:eastAsia="en-US"/>
              </w:rPr>
            </w:pPr>
            <w:r>
              <w:rPr>
                <w:rFonts w:cs="Arial"/>
                <w:bCs/>
                <w:sz w:val="20"/>
                <w:lang w:eastAsia="en-US"/>
              </w:rPr>
              <w:t>15 985,03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9D6F59" w:rsidP="001152A4">
            <w:pPr>
              <w:spacing w:line="276" w:lineRule="auto"/>
              <w:jc w:val="right"/>
              <w:rPr>
                <w:rFonts w:cs="Arial"/>
                <w:bCs/>
                <w:sz w:val="20"/>
                <w:lang w:eastAsia="en-US"/>
              </w:rPr>
            </w:pPr>
            <w:r>
              <w:rPr>
                <w:rFonts w:cs="Arial"/>
                <w:bCs/>
                <w:sz w:val="20"/>
                <w:lang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A67DC9" w:rsidP="001152A4">
            <w:pPr>
              <w:spacing w:line="276" w:lineRule="auto"/>
              <w:jc w:val="right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15 985,03</w:t>
            </w:r>
          </w:p>
        </w:tc>
      </w:tr>
      <w:tr w:rsidR="009D6F59" w:rsidTr="001152A4">
        <w:trPr>
          <w:trHeight w:val="4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D6F59" w:rsidRDefault="009D6F59" w:rsidP="001152A4">
            <w:pPr>
              <w:spacing w:line="276" w:lineRule="auto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Celkem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A67DC9" w:rsidP="001152A4">
            <w:pPr>
              <w:spacing w:line="276" w:lineRule="auto"/>
              <w:jc w:val="right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681 165,95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A67DC9" w:rsidP="001152A4">
            <w:pPr>
              <w:spacing w:line="276" w:lineRule="auto"/>
              <w:jc w:val="right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712 856,68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A67DC9" w:rsidP="001152A4">
            <w:pPr>
              <w:spacing w:line="276" w:lineRule="auto"/>
              <w:jc w:val="right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-10,34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6F59" w:rsidRDefault="00A67DC9" w:rsidP="001152A4">
            <w:pPr>
              <w:spacing w:line="276" w:lineRule="auto"/>
              <w:jc w:val="right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712 846,34</w:t>
            </w:r>
          </w:p>
        </w:tc>
      </w:tr>
    </w:tbl>
    <w:p w:rsidR="009D6F59" w:rsidRDefault="009D6F59" w:rsidP="009D6F59"/>
    <w:p w:rsidR="00BE7967" w:rsidRDefault="009D6F59" w:rsidP="00397572">
      <w:pPr>
        <w:jc w:val="both"/>
      </w:pPr>
      <w:r>
        <w:t>V roce 201</w:t>
      </w:r>
      <w:r w:rsidR="007C02FB">
        <w:t>8</w:t>
      </w:r>
      <w:r>
        <w:t xml:space="preserve"> organizace vykázala zhoršený hospodářský výsledek -1</w:t>
      </w:r>
      <w:r w:rsidR="007C02FB">
        <w:t>0</w:t>
      </w:r>
      <w:r>
        <w:t>,</w:t>
      </w:r>
      <w:r w:rsidR="007C02FB">
        <w:t>3</w:t>
      </w:r>
      <w:r w:rsidR="00BE7967">
        <w:t xml:space="preserve">4Kč. </w:t>
      </w:r>
    </w:p>
    <w:p w:rsidR="00DF6CDB" w:rsidRDefault="00DF6CDB" w:rsidP="00397572">
      <w:pPr>
        <w:jc w:val="both"/>
      </w:pPr>
      <w:r>
        <w:t xml:space="preserve">Rada Libereckého kraje dne </w:t>
      </w:r>
      <w:proofErr w:type="gramStart"/>
      <w:r w:rsidR="000F3118">
        <w:t>18.6.2019</w:t>
      </w:r>
      <w:proofErr w:type="gramEnd"/>
      <w:r w:rsidR="000F3118">
        <w:t xml:space="preserve"> </w:t>
      </w:r>
      <w:r>
        <w:t xml:space="preserve">usnesením č. </w:t>
      </w:r>
      <w:r w:rsidR="000F3118">
        <w:t>1219/19/RK</w:t>
      </w:r>
      <w:r>
        <w:t xml:space="preserve"> vzala na vědomí výsledky hospodaření příspěvkových organizací resortu sociálních věcí za rok 2018 a schválila </w:t>
      </w:r>
      <w:r w:rsidR="008B2A31">
        <w:t>krytí</w:t>
      </w:r>
      <w:r>
        <w:t xml:space="preserve"> zhoršeného výsledku hospodaření roku 2018 ve výši -10,34 Kč z rezervního fondu.</w:t>
      </w:r>
    </w:p>
    <w:p w:rsidR="009D6F59" w:rsidRDefault="009D6F59" w:rsidP="009D6F59">
      <w:pPr>
        <w:rPr>
          <w:b/>
        </w:rPr>
      </w:pPr>
    </w:p>
    <w:p w:rsidR="009D6F59" w:rsidRDefault="009D6F59" w:rsidP="00BE7967">
      <w:pPr>
        <w:jc w:val="both"/>
        <w:rPr>
          <w:u w:val="single"/>
        </w:rPr>
      </w:pPr>
      <w:r>
        <w:rPr>
          <w:b/>
        </w:rPr>
        <w:t xml:space="preserve">13.  </w:t>
      </w:r>
      <w:r>
        <w:rPr>
          <w:b/>
          <w:u w:val="single"/>
        </w:rPr>
        <w:t>Mzdový vývoj a stav zaměstnanosti</w:t>
      </w:r>
    </w:p>
    <w:p w:rsidR="009D6F59" w:rsidRDefault="009D6F59" w:rsidP="009D6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4"/>
        <w:gridCol w:w="1842"/>
        <w:gridCol w:w="1842"/>
        <w:gridCol w:w="1842"/>
      </w:tblGrid>
      <w:tr w:rsidR="009D6F59" w:rsidTr="001152A4">
        <w:trPr>
          <w:cantSplit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Skutečnost</w:t>
            </w:r>
          </w:p>
          <w:p w:rsidR="009D6F59" w:rsidRDefault="009D6F59" w:rsidP="007C02F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201</w:t>
            </w:r>
            <w:r w:rsidR="007C02FB"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Plán </w:t>
            </w:r>
          </w:p>
          <w:p w:rsidR="009D6F59" w:rsidRDefault="009D6F59" w:rsidP="007C02F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201</w:t>
            </w:r>
            <w:r w:rsidR="007C02FB">
              <w:rPr>
                <w:b/>
                <w:sz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Skutečnost</w:t>
            </w:r>
          </w:p>
          <w:p w:rsidR="009D6F59" w:rsidRDefault="009D6F59" w:rsidP="007C02F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201</w:t>
            </w:r>
            <w:r w:rsidR="007C02FB">
              <w:rPr>
                <w:b/>
                <w:sz w:val="20"/>
                <w:lang w:eastAsia="en-US"/>
              </w:rPr>
              <w:t>8</w:t>
            </w:r>
          </w:p>
        </w:tc>
      </w:tr>
      <w:tr w:rsidR="009D6F59" w:rsidTr="001152A4">
        <w:trPr>
          <w:cantSplit/>
        </w:trPr>
        <w:tc>
          <w:tcPr>
            <w:tcW w:w="3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Limit prostředků na platy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645F6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6 893 897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645F6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8 139 000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645F6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8 138 797</w:t>
            </w:r>
          </w:p>
        </w:tc>
      </w:tr>
      <w:tr w:rsidR="009D6F59" w:rsidTr="001152A4">
        <w:trPr>
          <w:cantSplit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Přepočtený počet zaměstnanců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645F6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645F6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23,5</w:t>
            </w:r>
          </w:p>
        </w:tc>
      </w:tr>
      <w:tr w:rsidR="009D6F59" w:rsidTr="001152A4">
        <w:trPr>
          <w:cantSplit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Fyzický počet zaměstnanců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645F6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645F60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</w:tr>
      <w:tr w:rsidR="009D6F59" w:rsidTr="001152A4">
        <w:trPr>
          <w:cantSplit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9D6F59" w:rsidP="001152A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Průměrný plat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645F60" w:rsidP="00F121B6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24 9</w:t>
            </w:r>
            <w:r w:rsidR="00F121B6">
              <w:rPr>
                <w:sz w:val="20"/>
                <w:lang w:eastAsia="en-US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645F60" w:rsidP="00F121B6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28 2</w:t>
            </w:r>
            <w:r w:rsidR="00F121B6">
              <w:rPr>
                <w:sz w:val="20"/>
                <w:lang w:eastAsia="en-US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59" w:rsidRDefault="00F121B6" w:rsidP="001152A4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28 860</w:t>
            </w:r>
          </w:p>
        </w:tc>
      </w:tr>
    </w:tbl>
    <w:p w:rsidR="009D6F59" w:rsidRDefault="009D6F59" w:rsidP="009D6F59">
      <w:pPr>
        <w:rPr>
          <w:b/>
        </w:rPr>
      </w:pPr>
    </w:p>
    <w:p w:rsidR="00BE7967" w:rsidRDefault="000B250A" w:rsidP="00BE7967">
      <w:pPr>
        <w:jc w:val="both"/>
        <w:rPr>
          <w:b/>
        </w:rPr>
      </w:pPr>
      <w:r>
        <w:rPr>
          <w:b/>
        </w:rPr>
        <w:t>Komentář k tabulce:</w:t>
      </w:r>
    </w:p>
    <w:p w:rsidR="000B250A" w:rsidRPr="00BE7967" w:rsidRDefault="000B250A" w:rsidP="00BE7967">
      <w:pPr>
        <w:jc w:val="both"/>
        <w:rPr>
          <w:b/>
        </w:rPr>
      </w:pPr>
      <w:r>
        <w:t>V roce 2018 nebyly překročeny stanovené limity mzdových nákladů.</w:t>
      </w:r>
    </w:p>
    <w:p w:rsidR="00B7606E" w:rsidRDefault="00B7606E" w:rsidP="009D6F59"/>
    <w:p w:rsidR="000B250A" w:rsidRDefault="000B250A" w:rsidP="009D6F59"/>
    <w:p w:rsidR="000B250A" w:rsidRPr="000B250A" w:rsidRDefault="000B250A" w:rsidP="009D6F59"/>
    <w:p w:rsidR="009D6F59" w:rsidRDefault="009D6F59" w:rsidP="00BE7967">
      <w:pPr>
        <w:jc w:val="both"/>
      </w:pPr>
      <w:r>
        <w:rPr>
          <w:b/>
        </w:rPr>
        <w:t xml:space="preserve">14.  </w:t>
      </w:r>
      <w:r>
        <w:rPr>
          <w:b/>
          <w:u w:val="single"/>
        </w:rPr>
        <w:t>Plnění nápravných opatření z roku 201</w:t>
      </w:r>
      <w:r w:rsidR="000B250A">
        <w:rPr>
          <w:b/>
          <w:u w:val="single"/>
        </w:rPr>
        <w:t>8</w:t>
      </w:r>
    </w:p>
    <w:p w:rsidR="009D6F59" w:rsidRDefault="009D6F59" w:rsidP="009D6F59"/>
    <w:p w:rsidR="009D6F59" w:rsidRDefault="009D6F59" w:rsidP="009D6F59">
      <w:pPr>
        <w:jc w:val="both"/>
      </w:pPr>
      <w:r>
        <w:t>Organizaci nebylo uděleno žádné nápravné opatření.</w:t>
      </w:r>
    </w:p>
    <w:p w:rsidR="000B250A" w:rsidRDefault="000B250A" w:rsidP="009D6F59">
      <w:pPr>
        <w:jc w:val="both"/>
      </w:pPr>
    </w:p>
    <w:p w:rsidR="000B250A" w:rsidRDefault="000B250A" w:rsidP="009D6F59">
      <w:pPr>
        <w:jc w:val="both"/>
      </w:pPr>
    </w:p>
    <w:p w:rsidR="00B7606E" w:rsidRDefault="00B7606E" w:rsidP="009D6F59">
      <w:pPr>
        <w:jc w:val="both"/>
      </w:pPr>
    </w:p>
    <w:p w:rsidR="009D6F59" w:rsidRDefault="009D6F59" w:rsidP="009D6F59"/>
    <w:p w:rsidR="009D6F59" w:rsidRDefault="002D406B" w:rsidP="009D6F59">
      <w:r>
        <w:t xml:space="preserve">V České Lípě </w:t>
      </w:r>
      <w:r w:rsidR="00B7606E">
        <w:t>30</w:t>
      </w:r>
      <w:r>
        <w:t xml:space="preserve">. </w:t>
      </w:r>
      <w:r w:rsidR="00B7606E">
        <w:t>5.</w:t>
      </w:r>
      <w:r>
        <w:t xml:space="preserve"> </w:t>
      </w:r>
      <w:r w:rsidR="00B7606E">
        <w:t>2019</w:t>
      </w:r>
    </w:p>
    <w:p w:rsidR="009D6F59" w:rsidRDefault="009D6F59" w:rsidP="009D6F59"/>
    <w:p w:rsidR="009D6F59" w:rsidRPr="009818E6" w:rsidRDefault="009D6F59" w:rsidP="009D6F59">
      <w:pPr>
        <w:ind w:left="2832"/>
        <w:jc w:val="both"/>
        <w:rPr>
          <w:b/>
        </w:rPr>
      </w:pPr>
      <w:r w:rsidRPr="009818E6">
        <w:rPr>
          <w:b/>
        </w:rPr>
        <w:t>Zpracoval:</w:t>
      </w:r>
    </w:p>
    <w:p w:rsidR="009D6F59" w:rsidRDefault="009D6F59" w:rsidP="009D6F59">
      <w:pPr>
        <w:ind w:left="2832"/>
        <w:jc w:val="both"/>
      </w:pPr>
      <w:r>
        <w:t>Ekonom organizace J. Ondřejková</w:t>
      </w:r>
    </w:p>
    <w:p w:rsidR="009D6F59" w:rsidRDefault="009D6F59" w:rsidP="009D6F59">
      <w:pPr>
        <w:ind w:left="2832"/>
        <w:jc w:val="both"/>
      </w:pPr>
      <w:r>
        <w:t xml:space="preserve">Pověřená vedoucí Denního stacionáře Mgr. E. Kysilková Šťastná   </w:t>
      </w:r>
      <w:bookmarkStart w:id="2" w:name="_GoBack"/>
      <w:bookmarkEnd w:id="2"/>
      <w:r>
        <w:t xml:space="preserve">          </w:t>
      </w:r>
    </w:p>
    <w:p w:rsidR="009D6F59" w:rsidRDefault="009D6F59" w:rsidP="009D6F59">
      <w:pPr>
        <w:ind w:left="2832"/>
        <w:jc w:val="both"/>
      </w:pPr>
      <w:r>
        <w:t>Pověřená vedoucí Domova pro osoby se zdravotním postižením M. Jirsáková</w:t>
      </w:r>
    </w:p>
    <w:p w:rsidR="009D6F59" w:rsidRDefault="009D6F59" w:rsidP="009D6F59">
      <w:pPr>
        <w:ind w:left="2832"/>
        <w:jc w:val="both"/>
      </w:pPr>
      <w:r>
        <w:t>Sociální pracovnice Mgr. K. Říhová</w:t>
      </w:r>
    </w:p>
    <w:p w:rsidR="009D6F59" w:rsidRDefault="009D6F59" w:rsidP="009D6F59">
      <w:pPr>
        <w:ind w:left="2832"/>
        <w:jc w:val="both"/>
      </w:pPr>
      <w:r>
        <w:t xml:space="preserve">     </w:t>
      </w:r>
    </w:p>
    <w:p w:rsidR="009D6F59" w:rsidRPr="009818E6" w:rsidRDefault="009D6F59" w:rsidP="009D6F59">
      <w:pPr>
        <w:ind w:left="2832"/>
        <w:jc w:val="both"/>
        <w:rPr>
          <w:b/>
        </w:rPr>
      </w:pPr>
      <w:r w:rsidRPr="009818E6">
        <w:rPr>
          <w:b/>
        </w:rPr>
        <w:t>Schválil:</w:t>
      </w:r>
    </w:p>
    <w:p w:rsidR="009D6F59" w:rsidRDefault="009D6F59" w:rsidP="009D6F59">
      <w:pPr>
        <w:ind w:left="2832"/>
        <w:jc w:val="both"/>
      </w:pPr>
      <w:r>
        <w:t>Ředitelka organizace Mgr. Hummelová Ilona</w:t>
      </w:r>
    </w:p>
    <w:p w:rsidR="009D6F59" w:rsidRDefault="009D6F59" w:rsidP="009D6F59">
      <w:pPr>
        <w:ind w:left="2832"/>
        <w:jc w:val="both"/>
      </w:pPr>
    </w:p>
    <w:p w:rsidR="009D6F59" w:rsidRDefault="009D6F59" w:rsidP="009D6F59">
      <w:pPr>
        <w:jc w:val="both"/>
      </w:pPr>
      <w:r>
        <w:t xml:space="preserve">                                                </w:t>
      </w:r>
      <w:r w:rsidRPr="009818E6">
        <w:rPr>
          <w:b/>
        </w:rPr>
        <w:t>Kontakty:</w:t>
      </w:r>
      <w:r w:rsidRPr="00E519C9">
        <w:rPr>
          <w:color w:val="8496B0"/>
          <w:u w:val="single"/>
        </w:rPr>
        <w:t>reditel@nadeje-cl.cz</w:t>
      </w:r>
      <w:r w:rsidRPr="00E519C9">
        <w:rPr>
          <w:color w:val="8496B0"/>
        </w:rPr>
        <w:t xml:space="preserve"> </w:t>
      </w:r>
      <w:r w:rsidRPr="00E519C9">
        <w:rPr>
          <w:color w:val="8496B0"/>
        </w:rPr>
        <w:br/>
        <w:t xml:space="preserve">                  </w:t>
      </w:r>
      <w:r>
        <w:rPr>
          <w:color w:val="8496B0"/>
        </w:rPr>
        <w:t xml:space="preserve">                                                </w:t>
      </w:r>
      <w:hyperlink r:id="rId8" w:history="1">
        <w:r w:rsidRPr="00E519C9">
          <w:rPr>
            <w:rStyle w:val="Hypertextovodkaz"/>
            <w:color w:val="8496B0"/>
          </w:rPr>
          <w:t>www.nadeje-cl.cz</w:t>
        </w:r>
      </w:hyperlink>
    </w:p>
    <w:p w:rsidR="009D6F59" w:rsidRDefault="009D6F59" w:rsidP="009D6F59">
      <w:pPr>
        <w:jc w:val="center"/>
        <w:rPr>
          <w:b/>
        </w:rPr>
      </w:pPr>
    </w:p>
    <w:p w:rsidR="009D6F59" w:rsidRPr="000B0454" w:rsidRDefault="009D6F59" w:rsidP="009D6F59">
      <w:pPr>
        <w:jc w:val="both"/>
        <w:rPr>
          <w:b/>
          <w:color w:val="FF0000"/>
          <w:sz w:val="32"/>
          <w:szCs w:val="32"/>
        </w:rPr>
      </w:pPr>
    </w:p>
    <w:p w:rsidR="002246E3" w:rsidRDefault="002246E3"/>
    <w:sectPr w:rsidR="002246E3" w:rsidSect="001152A4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E39" w:rsidRDefault="00441E39" w:rsidP="002D3EB6">
      <w:r>
        <w:separator/>
      </w:r>
    </w:p>
  </w:endnote>
  <w:endnote w:type="continuationSeparator" w:id="0">
    <w:p w:rsidR="00441E39" w:rsidRDefault="00441E39" w:rsidP="002D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-Medium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86" w:rsidRDefault="005B2281" w:rsidP="001152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1168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1686" w:rsidRDefault="00411686" w:rsidP="001152A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86" w:rsidRDefault="005B2281" w:rsidP="001152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1168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2B5B">
      <w:rPr>
        <w:rStyle w:val="slostrnky"/>
        <w:noProof/>
      </w:rPr>
      <w:t>2</w:t>
    </w:r>
    <w:r>
      <w:rPr>
        <w:rStyle w:val="slostrnky"/>
      </w:rPr>
      <w:fldChar w:fldCharType="end"/>
    </w:r>
  </w:p>
  <w:p w:rsidR="00411686" w:rsidRDefault="00411686" w:rsidP="001152A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E39" w:rsidRDefault="00441E39" w:rsidP="002D3EB6">
      <w:r>
        <w:separator/>
      </w:r>
    </w:p>
  </w:footnote>
  <w:footnote w:type="continuationSeparator" w:id="0">
    <w:p w:rsidR="00441E39" w:rsidRDefault="00441E39" w:rsidP="002D3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63852A8"/>
    <w:multiLevelType w:val="hybridMultilevel"/>
    <w:tmpl w:val="73C4A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E69FF"/>
    <w:multiLevelType w:val="hybridMultilevel"/>
    <w:tmpl w:val="E95AB23C"/>
    <w:lvl w:ilvl="0" w:tplc="FE6E7B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3059B"/>
    <w:multiLevelType w:val="singleLevel"/>
    <w:tmpl w:val="D5DE4F38"/>
    <w:lvl w:ilvl="0">
      <w:start w:val="4"/>
      <w:numFmt w:val="decimal"/>
      <w:pStyle w:val="Nadpis6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89F734B"/>
    <w:multiLevelType w:val="multilevel"/>
    <w:tmpl w:val="6C5C67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84257C5"/>
    <w:multiLevelType w:val="hybridMultilevel"/>
    <w:tmpl w:val="D82839A2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55C82B34"/>
    <w:multiLevelType w:val="hybridMultilevel"/>
    <w:tmpl w:val="5FD83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270AC"/>
    <w:multiLevelType w:val="hybridMultilevel"/>
    <w:tmpl w:val="9A600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65D88"/>
    <w:multiLevelType w:val="hybridMultilevel"/>
    <w:tmpl w:val="E9669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57D3D"/>
    <w:multiLevelType w:val="hybridMultilevel"/>
    <w:tmpl w:val="AAAE7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30128"/>
    <w:multiLevelType w:val="hybridMultilevel"/>
    <w:tmpl w:val="2BDCE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82F8A"/>
    <w:multiLevelType w:val="hybridMultilevel"/>
    <w:tmpl w:val="2B609094"/>
    <w:lvl w:ilvl="0" w:tplc="CC1E1E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F59"/>
    <w:rsid w:val="00006AD9"/>
    <w:rsid w:val="00016AD7"/>
    <w:rsid w:val="0001750F"/>
    <w:rsid w:val="000254C7"/>
    <w:rsid w:val="00030100"/>
    <w:rsid w:val="0003363C"/>
    <w:rsid w:val="000443D0"/>
    <w:rsid w:val="0005504A"/>
    <w:rsid w:val="000830A8"/>
    <w:rsid w:val="00090EB9"/>
    <w:rsid w:val="000A1F06"/>
    <w:rsid w:val="000B250A"/>
    <w:rsid w:val="000B3790"/>
    <w:rsid w:val="000D23B4"/>
    <w:rsid w:val="000F3118"/>
    <w:rsid w:val="000F67EB"/>
    <w:rsid w:val="00111EE1"/>
    <w:rsid w:val="001152A4"/>
    <w:rsid w:val="00127671"/>
    <w:rsid w:val="00130DB0"/>
    <w:rsid w:val="001A13F3"/>
    <w:rsid w:val="001F07AA"/>
    <w:rsid w:val="00204720"/>
    <w:rsid w:val="002246E3"/>
    <w:rsid w:val="002474D7"/>
    <w:rsid w:val="00270B03"/>
    <w:rsid w:val="002A4A54"/>
    <w:rsid w:val="002C410D"/>
    <w:rsid w:val="002C7C53"/>
    <w:rsid w:val="002D3EB6"/>
    <w:rsid w:val="002D406B"/>
    <w:rsid w:val="0032660B"/>
    <w:rsid w:val="003341EA"/>
    <w:rsid w:val="00344DFA"/>
    <w:rsid w:val="00376004"/>
    <w:rsid w:val="003761DA"/>
    <w:rsid w:val="00397572"/>
    <w:rsid w:val="003A19AD"/>
    <w:rsid w:val="003A5A91"/>
    <w:rsid w:val="003A678C"/>
    <w:rsid w:val="003B591E"/>
    <w:rsid w:val="003E1ABA"/>
    <w:rsid w:val="003E686F"/>
    <w:rsid w:val="004055D9"/>
    <w:rsid w:val="00411686"/>
    <w:rsid w:val="0042275C"/>
    <w:rsid w:val="00423D03"/>
    <w:rsid w:val="00440059"/>
    <w:rsid w:val="004403DC"/>
    <w:rsid w:val="00441E39"/>
    <w:rsid w:val="00452164"/>
    <w:rsid w:val="00461FE1"/>
    <w:rsid w:val="00466C3B"/>
    <w:rsid w:val="0054009B"/>
    <w:rsid w:val="005A20D4"/>
    <w:rsid w:val="005B2281"/>
    <w:rsid w:val="005C7EF8"/>
    <w:rsid w:val="0062401D"/>
    <w:rsid w:val="00645F60"/>
    <w:rsid w:val="00693D39"/>
    <w:rsid w:val="006B65C6"/>
    <w:rsid w:val="006C1B49"/>
    <w:rsid w:val="006E088F"/>
    <w:rsid w:val="006F36FB"/>
    <w:rsid w:val="00712E26"/>
    <w:rsid w:val="0076469D"/>
    <w:rsid w:val="00772D6E"/>
    <w:rsid w:val="007C02FB"/>
    <w:rsid w:val="007C78E0"/>
    <w:rsid w:val="007D7099"/>
    <w:rsid w:val="00811619"/>
    <w:rsid w:val="00813689"/>
    <w:rsid w:val="008361F0"/>
    <w:rsid w:val="00860604"/>
    <w:rsid w:val="00863741"/>
    <w:rsid w:val="00883A14"/>
    <w:rsid w:val="0089082A"/>
    <w:rsid w:val="0089362F"/>
    <w:rsid w:val="008A58D4"/>
    <w:rsid w:val="008A682A"/>
    <w:rsid w:val="008B2A31"/>
    <w:rsid w:val="008D7EF6"/>
    <w:rsid w:val="008E45C9"/>
    <w:rsid w:val="008F5EA1"/>
    <w:rsid w:val="00937DCF"/>
    <w:rsid w:val="00964F9D"/>
    <w:rsid w:val="00986007"/>
    <w:rsid w:val="009B574F"/>
    <w:rsid w:val="009D6F59"/>
    <w:rsid w:val="009F357A"/>
    <w:rsid w:val="00A03864"/>
    <w:rsid w:val="00A164C8"/>
    <w:rsid w:val="00A32852"/>
    <w:rsid w:val="00A351B1"/>
    <w:rsid w:val="00A44AD5"/>
    <w:rsid w:val="00A532E2"/>
    <w:rsid w:val="00A67DC9"/>
    <w:rsid w:val="00A715FB"/>
    <w:rsid w:val="00A929E0"/>
    <w:rsid w:val="00AC7AA3"/>
    <w:rsid w:val="00AF3AB0"/>
    <w:rsid w:val="00B74F34"/>
    <w:rsid w:val="00B7606E"/>
    <w:rsid w:val="00B77B45"/>
    <w:rsid w:val="00BE7967"/>
    <w:rsid w:val="00C1207D"/>
    <w:rsid w:val="00C6100E"/>
    <w:rsid w:val="00C739F5"/>
    <w:rsid w:val="00CC4B3F"/>
    <w:rsid w:val="00CD092F"/>
    <w:rsid w:val="00CE63AC"/>
    <w:rsid w:val="00D32B5B"/>
    <w:rsid w:val="00D42C52"/>
    <w:rsid w:val="00D73335"/>
    <w:rsid w:val="00DB3727"/>
    <w:rsid w:val="00DC4B45"/>
    <w:rsid w:val="00DF6CDB"/>
    <w:rsid w:val="00DF76FA"/>
    <w:rsid w:val="00E03939"/>
    <w:rsid w:val="00E412F8"/>
    <w:rsid w:val="00E57158"/>
    <w:rsid w:val="00E72ACD"/>
    <w:rsid w:val="00E8177D"/>
    <w:rsid w:val="00E90FB0"/>
    <w:rsid w:val="00E9271C"/>
    <w:rsid w:val="00E944DB"/>
    <w:rsid w:val="00EB78AE"/>
    <w:rsid w:val="00EC7256"/>
    <w:rsid w:val="00ED6824"/>
    <w:rsid w:val="00EE624A"/>
    <w:rsid w:val="00EF4179"/>
    <w:rsid w:val="00F121B6"/>
    <w:rsid w:val="00F32EE6"/>
    <w:rsid w:val="00F46B5D"/>
    <w:rsid w:val="00F5713C"/>
    <w:rsid w:val="00F662CA"/>
    <w:rsid w:val="00F9167B"/>
    <w:rsid w:val="00FC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F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6F5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9D6F59"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qFormat/>
    <w:rsid w:val="009D6F59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rsid w:val="009D6F59"/>
    <w:pPr>
      <w:keepNext/>
      <w:ind w:left="3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9D6F59"/>
    <w:pPr>
      <w:keepNext/>
      <w:ind w:left="36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D6F59"/>
    <w:pPr>
      <w:keepNext/>
      <w:numPr>
        <w:numId w:val="1"/>
      </w:numPr>
      <w:tabs>
        <w:tab w:val="clear" w:pos="360"/>
        <w:tab w:val="num" w:pos="709"/>
      </w:tabs>
      <w:outlineLvl w:val="5"/>
    </w:pPr>
  </w:style>
  <w:style w:type="paragraph" w:styleId="Nadpis7">
    <w:name w:val="heading 7"/>
    <w:basedOn w:val="Normln"/>
    <w:next w:val="Normln"/>
    <w:link w:val="Nadpis7Char"/>
    <w:qFormat/>
    <w:rsid w:val="009D6F59"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rsid w:val="009D6F59"/>
    <w:pPr>
      <w:keepNext/>
      <w:jc w:val="center"/>
      <w:outlineLvl w:val="7"/>
    </w:pPr>
    <w:rPr>
      <w:sz w:val="36"/>
    </w:rPr>
  </w:style>
  <w:style w:type="paragraph" w:styleId="Nadpis9">
    <w:name w:val="heading 9"/>
    <w:basedOn w:val="Normln"/>
    <w:next w:val="Normln"/>
    <w:link w:val="Nadpis9Char"/>
    <w:qFormat/>
    <w:rsid w:val="009D6F59"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6F5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D6F5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dpis3Char">
    <w:name w:val="Nadpis 3 Char"/>
    <w:basedOn w:val="Standardnpsmoodstavce"/>
    <w:link w:val="Nadpis3"/>
    <w:rsid w:val="009D6F5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9D6F5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rsid w:val="009D6F5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D6F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9D6F5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9D6F59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9D6F59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9D6F59"/>
    <w:rPr>
      <w:b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D6F59"/>
    <w:rPr>
      <w:rFonts w:ascii="Times New Roman" w:eastAsia="Times New Roman" w:hAnsi="Times New Roman" w:cs="Times New Roman"/>
      <w:b/>
      <w:sz w:val="24"/>
      <w:szCs w:val="20"/>
    </w:rPr>
  </w:style>
  <w:style w:type="character" w:styleId="Hypertextovodkaz">
    <w:name w:val="Hyperlink"/>
    <w:uiPriority w:val="99"/>
    <w:rsid w:val="009D6F59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9D6F59"/>
    <w:pPr>
      <w:jc w:val="center"/>
    </w:pPr>
    <w:rPr>
      <w:b/>
      <w:sz w:val="28"/>
    </w:rPr>
  </w:style>
  <w:style w:type="character" w:customStyle="1" w:styleId="Zkladntext2Char">
    <w:name w:val="Základní text 2 Char"/>
    <w:basedOn w:val="Standardnpsmoodstavce"/>
    <w:link w:val="Zkladntext2"/>
    <w:rsid w:val="009D6F5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D6F59"/>
    <w:pPr>
      <w:ind w:left="4248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rsid w:val="009D6F59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9D6F5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9D6F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9D6F59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D6F5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D6F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6F59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39"/>
    <w:rsid w:val="009D6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9D6F59"/>
  </w:style>
  <w:style w:type="paragraph" w:styleId="Nzev">
    <w:name w:val="Title"/>
    <w:basedOn w:val="Normln"/>
    <w:link w:val="NzevChar"/>
    <w:qFormat/>
    <w:rsid w:val="009D6F59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9D6F59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customStyle="1" w:styleId="msolistparagraph0">
    <w:name w:val="msolistparagraph"/>
    <w:basedOn w:val="Normln"/>
    <w:rsid w:val="009D6F59"/>
    <w:pPr>
      <w:ind w:left="720"/>
    </w:pPr>
    <w:rPr>
      <w:rFonts w:ascii="Calibri" w:eastAsia="Arial Unicode MS" w:hAnsi="Calibri" w:cs="Arial Unicode MS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D6F5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rsid w:val="009D6F5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D6F59"/>
    <w:rPr>
      <w:rFonts w:ascii="Tahoma" w:eastAsia="Times New Roman" w:hAnsi="Tahoma" w:cs="Times New Roman"/>
      <w:sz w:val="16"/>
      <w:szCs w:val="16"/>
    </w:rPr>
  </w:style>
  <w:style w:type="paragraph" w:customStyle="1" w:styleId="Standard">
    <w:name w:val="Standard"/>
    <w:rsid w:val="009D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kaznakoment">
    <w:name w:val="annotation reference"/>
    <w:rsid w:val="009D6F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6F5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D6F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9D6F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D6F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uiPriority w:val="22"/>
    <w:qFormat/>
    <w:rsid w:val="009D6F59"/>
    <w:rPr>
      <w:b/>
      <w:bCs/>
    </w:rPr>
  </w:style>
  <w:style w:type="character" w:customStyle="1" w:styleId="tsubjname">
    <w:name w:val="tsubjname"/>
    <w:rsid w:val="009D6F59"/>
  </w:style>
  <w:style w:type="paragraph" w:styleId="Bezmezer">
    <w:name w:val="No Spacing"/>
    <w:uiPriority w:val="1"/>
    <w:qFormat/>
    <w:rsid w:val="009D6F59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nhideWhenUsed/>
    <w:rsid w:val="009D6F59"/>
    <w:pPr>
      <w:suppressAutoHyphens/>
      <w:spacing w:before="280" w:after="280"/>
    </w:pPr>
    <w:rPr>
      <w:szCs w:val="24"/>
      <w:lang w:eastAsia="zh-CN"/>
    </w:rPr>
  </w:style>
  <w:style w:type="paragraph" w:customStyle="1" w:styleId="Default">
    <w:name w:val="Default"/>
    <w:rsid w:val="009D6F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Sledovanodkaz">
    <w:name w:val="FollowedHyperlink"/>
    <w:uiPriority w:val="99"/>
    <w:unhideWhenUsed/>
    <w:rsid w:val="009D6F59"/>
    <w:rPr>
      <w:color w:val="954F72"/>
      <w:u w:val="single"/>
    </w:rPr>
  </w:style>
  <w:style w:type="paragraph" w:customStyle="1" w:styleId="Normlnweb1">
    <w:name w:val="Normální (web)1"/>
    <w:basedOn w:val="Normln"/>
    <w:rsid w:val="009D6F59"/>
    <w:pPr>
      <w:suppressAutoHyphens/>
      <w:spacing w:before="280" w:after="280"/>
    </w:pPr>
    <w:rPr>
      <w:kern w:val="1"/>
      <w:szCs w:val="24"/>
      <w:lang w:eastAsia="zh-CN"/>
    </w:rPr>
  </w:style>
  <w:style w:type="paragraph" w:customStyle="1" w:styleId="Bezmezer1">
    <w:name w:val="Bez mezer1"/>
    <w:rsid w:val="003341E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eje-c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EDBC2-7BFC-4DC9-8BDA-E0BD4B8A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5597</Words>
  <Characters>33028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cp:lastPrinted>2019-08-02T05:53:00Z</cp:lastPrinted>
  <dcterms:created xsi:type="dcterms:W3CDTF">2019-08-02T05:55:00Z</dcterms:created>
  <dcterms:modified xsi:type="dcterms:W3CDTF">2019-08-02T05:55:00Z</dcterms:modified>
</cp:coreProperties>
</file>